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B4D" w:rsidRDefault="00774B4D" w:rsidP="00774B4D">
      <w:pPr>
        <w:jc w:val="center"/>
        <w:rPr>
          <w:b/>
        </w:rPr>
      </w:pPr>
      <w:r>
        <w:rPr>
          <w:b/>
        </w:rPr>
        <w:object w:dxaOrig="970"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5.25pt" o:ole="" fillcolor="window">
            <v:imagedata r:id="rId7" o:title=""/>
          </v:shape>
          <o:OLEObject Type="Embed" ProgID="Visio.Drawing.4" ShapeID="_x0000_i1025" DrawAspect="Content" ObjectID="_1693742370" r:id="rId8">
            <o:FieldCodes>\s \* MERGEFORMAT</o:FieldCodes>
          </o:OLEObject>
        </w:object>
      </w:r>
    </w:p>
    <w:p w:rsidR="00774B4D" w:rsidRDefault="00774B4D" w:rsidP="00774B4D">
      <w:pPr>
        <w:jc w:val="center"/>
        <w:rPr>
          <w:b/>
          <w:sz w:val="28"/>
        </w:rPr>
      </w:pPr>
    </w:p>
    <w:p w:rsidR="00774B4D" w:rsidRPr="00812539" w:rsidRDefault="00774B4D" w:rsidP="00774B4D">
      <w:pPr>
        <w:jc w:val="center"/>
        <w:rPr>
          <w:rFonts w:ascii="Calibri" w:hAnsi="Calibri"/>
          <w:b/>
          <w:color w:val="FF0000"/>
          <w:sz w:val="28"/>
        </w:rPr>
      </w:pPr>
      <w:r w:rsidRPr="00812539">
        <w:rPr>
          <w:rFonts w:ascii="Calibri" w:hAnsi="Calibri"/>
          <w:b/>
          <w:sz w:val="28"/>
        </w:rPr>
        <w:t>BAPTIST MEMORIAL MEDICAL EDUCATION</w:t>
      </w:r>
    </w:p>
    <w:p w:rsidR="00774B4D" w:rsidRPr="00812539" w:rsidRDefault="00774B4D" w:rsidP="00774B4D">
      <w:pPr>
        <w:jc w:val="center"/>
        <w:rPr>
          <w:rFonts w:ascii="Calibri" w:hAnsi="Calibri"/>
          <w:b/>
          <w:sz w:val="28"/>
        </w:rPr>
      </w:pPr>
    </w:p>
    <w:p w:rsidR="00774B4D" w:rsidRPr="00812539" w:rsidRDefault="00774B4D" w:rsidP="00774B4D">
      <w:pPr>
        <w:jc w:val="center"/>
        <w:rPr>
          <w:rFonts w:ascii="Calibri" w:hAnsi="Calibri"/>
        </w:rPr>
      </w:pPr>
      <w:r w:rsidRPr="00812539">
        <w:rPr>
          <w:rFonts w:ascii="Calibri" w:hAnsi="Calibri"/>
          <w:b/>
        </w:rPr>
        <w:t>DEPARTMENTAL POLICY AND PROCEDURE MANUAL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020"/>
      </w:tblGrid>
      <w:tr w:rsidR="00774B4D" w:rsidRPr="00812539" w:rsidTr="00AE7CE3">
        <w:trPr>
          <w:cantSplit/>
          <w:trHeight w:val="354"/>
        </w:trPr>
        <w:tc>
          <w:tcPr>
            <w:tcW w:w="2988" w:type="dxa"/>
            <w:vAlign w:val="center"/>
          </w:tcPr>
          <w:p w:rsidR="00774B4D" w:rsidRPr="00812539" w:rsidRDefault="00774B4D" w:rsidP="00AE7CE3">
            <w:pPr>
              <w:pStyle w:val="Heading8"/>
              <w:rPr>
                <w:rFonts w:ascii="Calibri" w:hAnsi="Calibri"/>
              </w:rPr>
            </w:pPr>
            <w:r w:rsidRPr="00812539">
              <w:rPr>
                <w:rFonts w:ascii="Calibri" w:hAnsi="Calibri"/>
              </w:rPr>
              <w:t>Effective Date:</w:t>
            </w:r>
            <w:r w:rsidRPr="00812539">
              <w:rPr>
                <w:rFonts w:ascii="Calibri" w:hAnsi="Calibri"/>
              </w:rPr>
              <w:tab/>
            </w:r>
            <w:r>
              <w:rPr>
                <w:rFonts w:ascii="Calibri" w:hAnsi="Calibri"/>
              </w:rPr>
              <w:t>September 2021</w:t>
            </w:r>
          </w:p>
        </w:tc>
        <w:tc>
          <w:tcPr>
            <w:tcW w:w="7020" w:type="dxa"/>
            <w:vMerge w:val="restart"/>
          </w:tcPr>
          <w:p w:rsidR="00774B4D" w:rsidRPr="00E4335B" w:rsidRDefault="00774B4D" w:rsidP="00AE7CE3">
            <w:pPr>
              <w:pStyle w:val="Heading5"/>
              <w:spacing w:before="240"/>
              <w:rPr>
                <w:rFonts w:ascii="Calibri" w:hAnsi="Calibri"/>
                <w:sz w:val="28"/>
              </w:rPr>
            </w:pPr>
            <w:r>
              <w:rPr>
                <w:rFonts w:ascii="Calibri" w:hAnsi="Calibri"/>
                <w:sz w:val="28"/>
              </w:rPr>
              <w:t>Medical Student Policy and Procedure</w:t>
            </w:r>
            <w:r w:rsidRPr="00812539">
              <w:rPr>
                <w:rFonts w:ascii="Calibri" w:hAnsi="Calibri"/>
                <w:sz w:val="28"/>
              </w:rPr>
              <w:t xml:space="preserve"> </w:t>
            </w:r>
          </w:p>
        </w:tc>
      </w:tr>
      <w:tr w:rsidR="00774B4D" w:rsidRPr="00812539" w:rsidTr="00AE7CE3">
        <w:trPr>
          <w:cantSplit/>
          <w:trHeight w:val="353"/>
        </w:trPr>
        <w:tc>
          <w:tcPr>
            <w:tcW w:w="2988" w:type="dxa"/>
            <w:vAlign w:val="center"/>
          </w:tcPr>
          <w:p w:rsidR="00774B4D" w:rsidRPr="00812539" w:rsidRDefault="00774B4D" w:rsidP="00AE7CE3">
            <w:pPr>
              <w:tabs>
                <w:tab w:val="left" w:pos="1080"/>
              </w:tabs>
              <w:rPr>
                <w:rFonts w:ascii="Calibri" w:hAnsi="Calibri"/>
                <w:b/>
                <w:sz w:val="16"/>
              </w:rPr>
            </w:pPr>
            <w:r w:rsidRPr="00812539">
              <w:rPr>
                <w:rFonts w:ascii="Calibri" w:hAnsi="Calibri"/>
                <w:b/>
                <w:sz w:val="16"/>
              </w:rPr>
              <w:t xml:space="preserve">Last Review/Revision: </w:t>
            </w:r>
          </w:p>
        </w:tc>
        <w:tc>
          <w:tcPr>
            <w:tcW w:w="7020" w:type="dxa"/>
            <w:vMerge/>
          </w:tcPr>
          <w:p w:rsidR="00774B4D" w:rsidRPr="00812539" w:rsidRDefault="00774B4D" w:rsidP="00AE7CE3">
            <w:pPr>
              <w:tabs>
                <w:tab w:val="left" w:pos="1440"/>
              </w:tabs>
              <w:jc w:val="both"/>
              <w:rPr>
                <w:rFonts w:ascii="Calibri" w:hAnsi="Calibri"/>
                <w:b/>
                <w:sz w:val="22"/>
              </w:rPr>
            </w:pPr>
          </w:p>
        </w:tc>
      </w:tr>
      <w:tr w:rsidR="00774B4D" w:rsidRPr="00812539" w:rsidTr="00AE7CE3">
        <w:trPr>
          <w:cantSplit/>
          <w:trHeight w:val="353"/>
        </w:trPr>
        <w:tc>
          <w:tcPr>
            <w:tcW w:w="2988" w:type="dxa"/>
            <w:vAlign w:val="center"/>
          </w:tcPr>
          <w:p w:rsidR="00774B4D" w:rsidRPr="00812539" w:rsidRDefault="00774B4D" w:rsidP="00AE7CE3">
            <w:pPr>
              <w:tabs>
                <w:tab w:val="left" w:pos="1080"/>
              </w:tabs>
              <w:jc w:val="both"/>
              <w:rPr>
                <w:rFonts w:ascii="Calibri" w:hAnsi="Calibri"/>
                <w:b/>
                <w:sz w:val="16"/>
              </w:rPr>
            </w:pPr>
          </w:p>
        </w:tc>
        <w:tc>
          <w:tcPr>
            <w:tcW w:w="7020" w:type="dxa"/>
            <w:vMerge/>
          </w:tcPr>
          <w:p w:rsidR="00774B4D" w:rsidRPr="00812539" w:rsidRDefault="00774B4D" w:rsidP="00AE7CE3">
            <w:pPr>
              <w:tabs>
                <w:tab w:val="left" w:pos="1440"/>
              </w:tabs>
              <w:jc w:val="both"/>
              <w:rPr>
                <w:rFonts w:ascii="Calibri" w:hAnsi="Calibri"/>
                <w:b/>
                <w:sz w:val="22"/>
              </w:rPr>
            </w:pPr>
          </w:p>
        </w:tc>
      </w:tr>
    </w:tbl>
    <w:p w:rsidR="00774B4D" w:rsidRPr="00812539" w:rsidRDefault="00774B4D" w:rsidP="00774B4D">
      <w:pPr>
        <w:pStyle w:val="Header"/>
        <w:tabs>
          <w:tab w:val="clear" w:pos="4320"/>
          <w:tab w:val="clear" w:pos="8640"/>
          <w:tab w:val="left" w:pos="1440"/>
        </w:tabs>
        <w:rPr>
          <w:rFonts w:ascii="Calibri" w:hAnsi="Calibri"/>
          <w:sz w:val="22"/>
        </w:rPr>
      </w:pPr>
    </w:p>
    <w:p w:rsidR="00351C09" w:rsidRDefault="00774B4D" w:rsidP="00351C09">
      <w:pPr>
        <w:rPr>
          <w:rStyle w:val="Strong"/>
          <w:b w:val="0"/>
          <w:bCs w:val="0"/>
        </w:rPr>
      </w:pPr>
      <w:r w:rsidRPr="00812539">
        <w:rPr>
          <w:rFonts w:ascii="Calibri" w:hAnsi="Calibri"/>
          <w:b/>
        </w:rPr>
        <w:t xml:space="preserve">PURPOSE:  </w:t>
      </w:r>
      <w:r w:rsidRPr="00351C09">
        <w:rPr>
          <w:rFonts w:ascii="Calibri" w:hAnsi="Calibri"/>
          <w:bCs/>
          <w:sz w:val="20"/>
        </w:rPr>
        <w:t>To establish a policy for requesting and endorsing exceptions to standard medical student policy and procedure.</w:t>
      </w:r>
      <w:r w:rsidR="00351C09" w:rsidRPr="00351C09">
        <w:rPr>
          <w:sz w:val="20"/>
        </w:rPr>
        <w:t xml:space="preserve"> </w:t>
      </w:r>
      <w:r w:rsidR="00351C09" w:rsidRPr="00351C09">
        <w:rPr>
          <w:rStyle w:val="Strong"/>
          <w:rFonts w:asciiTheme="minorHAnsi" w:hAnsiTheme="minorHAnsi" w:cstheme="minorHAnsi"/>
          <w:b w:val="0"/>
          <w:sz w:val="20"/>
        </w:rPr>
        <w:t>Ov</w:t>
      </w:r>
      <w:r w:rsidR="00351C09" w:rsidRPr="00351C09">
        <w:rPr>
          <w:rStyle w:val="Strong"/>
          <w:rFonts w:ascii="Calibri" w:hAnsi="Calibri" w:cs="Calibri"/>
          <w:b w:val="0"/>
          <w:sz w:val="20"/>
        </w:rPr>
        <w:t>er the past decade, Baptist Memorial Health Care Corporation (BMHCC) has seen extensive growth in types and numbers of student learners throughout the system in many of its hospitals and clinics. As demonstrated by the pandemic, standard policies and procedures are needed to ensure the safety of both patients and learners. The following Baptist Memorial Medical Education (BMME) document lays out definitions, procedures, and policies for applicable students throughout BMHCC.</w:t>
      </w:r>
      <w:r w:rsidR="00351C09" w:rsidRPr="00351C09">
        <w:rPr>
          <w:rStyle w:val="Strong"/>
          <w:rFonts w:ascii="Calibri" w:hAnsi="Calibri" w:cs="Calibri"/>
        </w:rPr>
        <w:t xml:space="preserve"> </w:t>
      </w:r>
    </w:p>
    <w:p w:rsidR="006D582F" w:rsidRDefault="006D582F" w:rsidP="006D582F">
      <w:pPr>
        <w:rPr>
          <w:rStyle w:val="Strong"/>
          <w:rFonts w:ascii="Calibri" w:hAnsi="Calibri" w:cs="Calibri"/>
          <w:b w:val="0"/>
          <w:sz w:val="18"/>
          <w:szCs w:val="18"/>
        </w:rPr>
      </w:pPr>
    </w:p>
    <w:p w:rsidR="006D582F" w:rsidRPr="0043287E" w:rsidRDefault="006D582F" w:rsidP="006D582F">
      <w:pPr>
        <w:rPr>
          <w:rStyle w:val="Strong"/>
          <w:rFonts w:ascii="Calibri" w:hAnsi="Calibri" w:cs="Calibri"/>
          <w:b w:val="0"/>
          <w:sz w:val="20"/>
        </w:rPr>
      </w:pPr>
      <w:r w:rsidRPr="0043287E">
        <w:rPr>
          <w:rStyle w:val="Strong"/>
          <w:rFonts w:ascii="Calibri" w:hAnsi="Calibri" w:cs="Calibri"/>
          <w:b w:val="0"/>
          <w:sz w:val="20"/>
        </w:rPr>
        <w:t>Primary Collaborative Institutions:</w:t>
      </w:r>
      <w:r w:rsidRPr="0043287E">
        <w:rPr>
          <w:rStyle w:val="Strong"/>
          <w:rFonts w:ascii="Calibri" w:hAnsi="Calibri" w:cs="Calibri"/>
          <w:b w:val="0"/>
          <w:sz w:val="20"/>
        </w:rPr>
        <w:t xml:space="preserve"> (PCI)</w:t>
      </w:r>
    </w:p>
    <w:p w:rsidR="006D582F" w:rsidRPr="0043287E" w:rsidRDefault="006D582F" w:rsidP="006D582F">
      <w:pPr>
        <w:rPr>
          <w:rStyle w:val="Strong"/>
          <w:rFonts w:ascii="Calibri" w:hAnsi="Calibri" w:cs="Calibri"/>
          <w:b w:val="0"/>
          <w:bCs w:val="0"/>
          <w:sz w:val="20"/>
        </w:rPr>
      </w:pPr>
    </w:p>
    <w:p w:rsidR="006D582F" w:rsidRPr="0043287E" w:rsidRDefault="006D582F" w:rsidP="006D582F">
      <w:pPr>
        <w:rPr>
          <w:rStyle w:val="Strong"/>
          <w:rFonts w:ascii="Calibri" w:hAnsi="Calibri" w:cs="Calibri"/>
          <w:b w:val="0"/>
          <w:bCs w:val="0"/>
          <w:sz w:val="20"/>
        </w:rPr>
      </w:pPr>
      <w:r w:rsidRPr="0043287E">
        <w:rPr>
          <w:rStyle w:val="Strong"/>
          <w:rFonts w:ascii="Calibri" w:hAnsi="Calibri" w:cs="Calibri"/>
          <w:b w:val="0"/>
          <w:sz w:val="20"/>
        </w:rPr>
        <w:t xml:space="preserve">Any BMHCC-affiliated hospital may enter into an agreement with an accredited American Allopathic, Osteopathic, or Physician Assistant school to place a designated number of learners and facilitate medical education, </w:t>
      </w:r>
      <w:r w:rsidRPr="0043287E">
        <w:rPr>
          <w:rStyle w:val="Strong"/>
          <w:rFonts w:ascii="Calibri" w:hAnsi="Calibri" w:cs="Calibri"/>
          <w:b w:val="0"/>
          <w:i/>
          <w:iCs/>
          <w:sz w:val="20"/>
        </w:rPr>
        <w:t>in a recurrent fashion</w:t>
      </w:r>
      <w:r w:rsidRPr="0043287E">
        <w:rPr>
          <w:rStyle w:val="Strong"/>
          <w:rFonts w:ascii="Calibri" w:hAnsi="Calibri" w:cs="Calibri"/>
          <w:b w:val="0"/>
          <w:sz w:val="20"/>
        </w:rPr>
        <w:t xml:space="preserve">, on BMHCC campuses subject to approval from BMME and BMHCC. For the purposes herein, these institutions are named Primary Collaborative Institutions (PCI).  </w:t>
      </w:r>
    </w:p>
    <w:p w:rsidR="006D582F" w:rsidRPr="0043287E" w:rsidRDefault="006D582F" w:rsidP="006D582F">
      <w:pPr>
        <w:rPr>
          <w:rStyle w:val="Strong"/>
          <w:rFonts w:ascii="Calibri" w:hAnsi="Calibri" w:cs="Calibri"/>
          <w:b w:val="0"/>
          <w:bCs w:val="0"/>
          <w:sz w:val="20"/>
        </w:rPr>
      </w:pPr>
      <w:r w:rsidRPr="0043287E">
        <w:rPr>
          <w:rStyle w:val="Strong"/>
          <w:rFonts w:ascii="Calibri" w:hAnsi="Calibri" w:cs="Calibri"/>
          <w:b w:val="0"/>
          <w:sz w:val="20"/>
        </w:rPr>
        <w:t xml:space="preserve">These agreements are usually conferred through a modified AAMC Uniform Training Agreement and other contractual obligations. </w:t>
      </w:r>
    </w:p>
    <w:p w:rsidR="006D582F" w:rsidRPr="0043287E" w:rsidRDefault="006D582F" w:rsidP="006D582F">
      <w:pPr>
        <w:rPr>
          <w:rStyle w:val="Strong"/>
          <w:rFonts w:ascii="Calibri" w:hAnsi="Calibri" w:cs="Calibri"/>
          <w:b w:val="0"/>
          <w:bCs w:val="0"/>
          <w:sz w:val="20"/>
        </w:rPr>
      </w:pPr>
      <w:r w:rsidRPr="0043287E">
        <w:rPr>
          <w:rStyle w:val="Strong"/>
          <w:rFonts w:ascii="Calibri" w:hAnsi="Calibri" w:cs="Calibri"/>
          <w:b w:val="0"/>
          <w:sz w:val="20"/>
        </w:rPr>
        <w:t xml:space="preserve">BMME maintains a list of PCI. </w:t>
      </w:r>
    </w:p>
    <w:p w:rsidR="006D582F" w:rsidRPr="0043287E" w:rsidRDefault="006D582F" w:rsidP="006D582F">
      <w:pPr>
        <w:rPr>
          <w:rStyle w:val="Strong"/>
          <w:rFonts w:ascii="Calibri" w:hAnsi="Calibri" w:cs="Calibri"/>
          <w:b w:val="0"/>
          <w:bCs w:val="0"/>
          <w:sz w:val="20"/>
        </w:rPr>
      </w:pPr>
      <w:r w:rsidRPr="0043287E">
        <w:rPr>
          <w:rStyle w:val="Strong"/>
          <w:rFonts w:ascii="Calibri" w:hAnsi="Calibri" w:cs="Calibri"/>
          <w:b w:val="0"/>
          <w:sz w:val="20"/>
        </w:rPr>
        <w:t xml:space="preserve"> (Example: BMH-Union County has entered agreement with Liberty University College of Osteopathic Medicine to support a small number of designated M1-M4 students each year on its campuses through a variety of learning experiences.) </w:t>
      </w:r>
    </w:p>
    <w:p w:rsidR="006D582F" w:rsidRPr="0043287E" w:rsidRDefault="006D582F" w:rsidP="006D582F">
      <w:pPr>
        <w:rPr>
          <w:rStyle w:val="Strong"/>
          <w:rFonts w:ascii="Calibri" w:hAnsi="Calibri" w:cs="Calibri"/>
          <w:b w:val="0"/>
          <w:bCs w:val="0"/>
          <w:sz w:val="20"/>
        </w:rPr>
      </w:pPr>
      <w:r w:rsidRPr="0043287E">
        <w:rPr>
          <w:rStyle w:val="Strong"/>
          <w:rFonts w:ascii="Calibri" w:hAnsi="Calibri" w:cs="Calibri"/>
          <w:b w:val="0"/>
          <w:sz w:val="20"/>
        </w:rPr>
        <w:t xml:space="preserve"> </w:t>
      </w:r>
    </w:p>
    <w:p w:rsidR="006D582F" w:rsidRPr="0043287E" w:rsidRDefault="006D582F" w:rsidP="006D582F">
      <w:pPr>
        <w:rPr>
          <w:rStyle w:val="Strong"/>
          <w:rFonts w:ascii="Calibri" w:hAnsi="Calibri" w:cs="Calibri"/>
          <w:b w:val="0"/>
          <w:sz w:val="20"/>
        </w:rPr>
      </w:pPr>
      <w:r w:rsidRPr="0043287E">
        <w:rPr>
          <w:rStyle w:val="Strong"/>
          <w:rFonts w:ascii="Calibri" w:hAnsi="Calibri" w:cs="Calibri"/>
          <w:b w:val="0"/>
          <w:sz w:val="20"/>
        </w:rPr>
        <w:t xml:space="preserve">Secondary Collaborative Institutions: </w:t>
      </w:r>
      <w:r w:rsidRPr="0043287E">
        <w:rPr>
          <w:rStyle w:val="Strong"/>
          <w:rFonts w:ascii="Calibri" w:hAnsi="Calibri" w:cs="Calibri"/>
          <w:b w:val="0"/>
          <w:sz w:val="20"/>
        </w:rPr>
        <w:t>(SCI)</w:t>
      </w:r>
    </w:p>
    <w:p w:rsidR="006D582F" w:rsidRPr="0043287E" w:rsidRDefault="006D582F" w:rsidP="006D582F">
      <w:pPr>
        <w:rPr>
          <w:rStyle w:val="Strong"/>
          <w:rFonts w:ascii="Calibri" w:hAnsi="Calibri" w:cs="Calibri"/>
          <w:b w:val="0"/>
          <w:bCs w:val="0"/>
          <w:sz w:val="20"/>
        </w:rPr>
      </w:pPr>
      <w:bookmarkStart w:id="0" w:name="_GoBack"/>
      <w:bookmarkEnd w:id="0"/>
    </w:p>
    <w:p w:rsidR="006D582F" w:rsidRPr="0043287E" w:rsidRDefault="006D582F" w:rsidP="006D582F">
      <w:pPr>
        <w:rPr>
          <w:rStyle w:val="Strong"/>
          <w:rFonts w:ascii="Calibri" w:hAnsi="Calibri" w:cs="Calibri"/>
          <w:b w:val="0"/>
          <w:bCs w:val="0"/>
          <w:sz w:val="20"/>
        </w:rPr>
      </w:pPr>
      <w:r w:rsidRPr="0043287E">
        <w:rPr>
          <w:rStyle w:val="Strong"/>
          <w:rFonts w:ascii="Calibri" w:hAnsi="Calibri" w:cs="Calibri"/>
          <w:b w:val="0"/>
          <w:sz w:val="20"/>
        </w:rPr>
        <w:t xml:space="preserve">Any BMHCC-affiliated hospital may enter into a temporary agreement with an accredited Allopathic, Osteopathic, or Physician Assistant school to send a student for a single clinical learning experience. These institutions are designated as Secondary Collaborative Institutions. Agreements may be entered into with approval from BMME using AAMC Uniform Training Agreement or AACOM equivalent. </w:t>
      </w:r>
    </w:p>
    <w:p w:rsidR="00774B4D" w:rsidRPr="0043287E" w:rsidRDefault="006D582F" w:rsidP="006D582F">
      <w:pPr>
        <w:pStyle w:val="Header"/>
        <w:tabs>
          <w:tab w:val="clear" w:pos="4320"/>
          <w:tab w:val="clear" w:pos="8640"/>
          <w:tab w:val="left" w:pos="1440"/>
        </w:tabs>
        <w:rPr>
          <w:rFonts w:ascii="Calibri" w:hAnsi="Calibri" w:cs="Calibri"/>
          <w:b/>
          <w:sz w:val="20"/>
        </w:rPr>
      </w:pPr>
      <w:r w:rsidRPr="0043287E">
        <w:rPr>
          <w:rStyle w:val="Strong"/>
          <w:rFonts w:ascii="Calibri" w:hAnsi="Calibri" w:cs="Calibri"/>
          <w:b w:val="0"/>
          <w:sz w:val="20"/>
        </w:rPr>
        <w:t>BMME maintains a list of SCI</w:t>
      </w:r>
    </w:p>
    <w:p w:rsidR="00774B4D" w:rsidRDefault="00774B4D" w:rsidP="00774B4D">
      <w:pPr>
        <w:pStyle w:val="Header"/>
        <w:tabs>
          <w:tab w:val="clear" w:pos="4320"/>
          <w:tab w:val="clear" w:pos="8640"/>
          <w:tab w:val="left" w:pos="1440"/>
        </w:tabs>
        <w:rPr>
          <w:rFonts w:ascii="Calibri" w:hAnsi="Calibri"/>
        </w:rPr>
      </w:pPr>
    </w:p>
    <w:p w:rsidR="00774B4D" w:rsidRDefault="00774B4D" w:rsidP="00774B4D">
      <w:pPr>
        <w:rPr>
          <w:rFonts w:ascii="Calibri" w:hAnsi="Calibri"/>
        </w:rPr>
      </w:pPr>
      <w:r w:rsidRPr="00E4335B">
        <w:rPr>
          <w:rFonts w:ascii="Calibri" w:hAnsi="Calibri"/>
          <w:b/>
        </w:rPr>
        <w:t>PROCEDURE:</w:t>
      </w:r>
      <w:r>
        <w:rPr>
          <w:rFonts w:ascii="Calibri" w:hAnsi="Calibri"/>
        </w:rPr>
        <w:t xml:space="preserve">  </w:t>
      </w:r>
    </w:p>
    <w:p w:rsidR="00774B4D" w:rsidRPr="00774B4D" w:rsidRDefault="00774B4D" w:rsidP="00774B4D">
      <w:pPr>
        <w:rPr>
          <w:rStyle w:val="Strong"/>
          <w:rFonts w:asciiTheme="minorHAnsi" w:hAnsiTheme="minorHAnsi" w:cstheme="minorHAnsi"/>
          <w:b w:val="0"/>
        </w:rPr>
      </w:pPr>
      <w:r w:rsidRPr="00774B4D">
        <w:rPr>
          <w:rStyle w:val="Strong"/>
          <w:rFonts w:asciiTheme="minorHAnsi" w:hAnsiTheme="minorHAnsi" w:cstheme="minorHAnsi"/>
          <w:b w:val="0"/>
        </w:rPr>
        <w:t>All Student Learners:</w:t>
      </w:r>
    </w:p>
    <w:p w:rsidR="00774B4D" w:rsidRPr="00774B4D" w:rsidRDefault="00774B4D" w:rsidP="00774B4D">
      <w:pPr>
        <w:pStyle w:val="ListParagraph"/>
        <w:numPr>
          <w:ilvl w:val="0"/>
          <w:numId w:val="1"/>
        </w:numPr>
        <w:rPr>
          <w:rStyle w:val="Strong"/>
          <w:rFonts w:cstheme="minorHAnsi"/>
          <w:b w:val="0"/>
          <w:bCs w:val="0"/>
        </w:rPr>
      </w:pPr>
      <w:r w:rsidRPr="00774B4D">
        <w:rPr>
          <w:rStyle w:val="Strong"/>
          <w:rFonts w:cstheme="minorHAnsi"/>
          <w:b w:val="0"/>
        </w:rPr>
        <w:t xml:space="preserve">Must be currently enrolled in PCI or SCI. </w:t>
      </w:r>
    </w:p>
    <w:p w:rsidR="00774B4D" w:rsidRPr="00774B4D" w:rsidRDefault="00774B4D" w:rsidP="00774B4D">
      <w:pPr>
        <w:pStyle w:val="ListParagraph"/>
        <w:numPr>
          <w:ilvl w:val="0"/>
          <w:numId w:val="1"/>
        </w:numPr>
        <w:rPr>
          <w:rStyle w:val="Strong"/>
          <w:rFonts w:cstheme="minorHAnsi"/>
          <w:b w:val="0"/>
          <w:bCs w:val="0"/>
        </w:rPr>
      </w:pPr>
      <w:r w:rsidRPr="00774B4D">
        <w:rPr>
          <w:rStyle w:val="Strong"/>
          <w:rFonts w:cstheme="minorHAnsi"/>
          <w:b w:val="0"/>
        </w:rPr>
        <w:t>Must register with, and report to the designated BMME representative prior to beginning any clinical experience on BMHCC-affiliated campuses or properties.</w:t>
      </w:r>
    </w:p>
    <w:p w:rsidR="00774B4D" w:rsidRPr="00774B4D" w:rsidRDefault="00774B4D" w:rsidP="00774B4D">
      <w:pPr>
        <w:pStyle w:val="ListParagraph"/>
        <w:numPr>
          <w:ilvl w:val="0"/>
          <w:numId w:val="1"/>
        </w:numPr>
        <w:rPr>
          <w:rStyle w:val="Strong"/>
          <w:rFonts w:cstheme="minorHAnsi"/>
          <w:b w:val="0"/>
          <w:bCs w:val="0"/>
        </w:rPr>
      </w:pPr>
      <w:r w:rsidRPr="00774B4D">
        <w:rPr>
          <w:rStyle w:val="Strong"/>
          <w:rFonts w:cstheme="minorHAnsi"/>
          <w:b w:val="0"/>
        </w:rPr>
        <w:t>Must complete appropriate BMHCC compliance and regulatory materials, including HIPAA materials, handwashing education, donning &amp; doffing, and proof of vaccinations, including the COVID-19 vaccination.</w:t>
      </w:r>
    </w:p>
    <w:p w:rsidR="00774B4D" w:rsidRPr="00774B4D" w:rsidRDefault="00774B4D" w:rsidP="00774B4D">
      <w:pPr>
        <w:pStyle w:val="ListParagraph"/>
        <w:numPr>
          <w:ilvl w:val="0"/>
          <w:numId w:val="1"/>
        </w:numPr>
        <w:rPr>
          <w:rStyle w:val="Strong"/>
          <w:rFonts w:cstheme="minorHAnsi"/>
          <w:b w:val="0"/>
          <w:bCs w:val="0"/>
        </w:rPr>
      </w:pPr>
      <w:r w:rsidRPr="00774B4D">
        <w:rPr>
          <w:rStyle w:val="Strong"/>
          <w:rFonts w:cstheme="minorHAnsi"/>
          <w:b w:val="0"/>
        </w:rPr>
        <w:t>Must submit a $50 fee prior to beginning any clinical experience on BMHCC-affiliated campuses or properties, payable from the PCI or SCI.</w:t>
      </w:r>
    </w:p>
    <w:p w:rsidR="00774B4D" w:rsidRPr="00774B4D" w:rsidRDefault="00774B4D" w:rsidP="00774B4D">
      <w:pPr>
        <w:rPr>
          <w:rStyle w:val="Strong"/>
          <w:rFonts w:asciiTheme="minorHAnsi" w:hAnsiTheme="minorHAnsi" w:cstheme="minorHAnsi"/>
          <w:b w:val="0"/>
        </w:rPr>
      </w:pPr>
    </w:p>
    <w:p w:rsidR="00774B4D" w:rsidRPr="00774B4D" w:rsidRDefault="00774B4D" w:rsidP="00774B4D">
      <w:pPr>
        <w:rPr>
          <w:rStyle w:val="Strong"/>
          <w:rFonts w:asciiTheme="minorHAnsi" w:hAnsiTheme="minorHAnsi" w:cstheme="minorHAnsi"/>
          <w:b w:val="0"/>
        </w:rPr>
      </w:pPr>
      <w:r w:rsidRPr="00774B4D">
        <w:rPr>
          <w:rStyle w:val="Strong"/>
          <w:rFonts w:asciiTheme="minorHAnsi" w:hAnsiTheme="minorHAnsi" w:cstheme="minorHAnsi"/>
          <w:b w:val="0"/>
        </w:rPr>
        <w:t>All PCI:</w:t>
      </w:r>
    </w:p>
    <w:p w:rsidR="00774B4D" w:rsidRPr="00774B4D" w:rsidRDefault="00774B4D" w:rsidP="00774B4D">
      <w:pPr>
        <w:pStyle w:val="ListParagraph"/>
        <w:numPr>
          <w:ilvl w:val="0"/>
          <w:numId w:val="2"/>
        </w:numPr>
        <w:rPr>
          <w:rStyle w:val="Strong"/>
          <w:rFonts w:cstheme="minorHAnsi"/>
          <w:b w:val="0"/>
          <w:bCs w:val="0"/>
        </w:rPr>
      </w:pPr>
      <w:r w:rsidRPr="00774B4D">
        <w:rPr>
          <w:rStyle w:val="Strong"/>
          <w:rFonts w:cstheme="minorHAnsi"/>
          <w:b w:val="0"/>
        </w:rPr>
        <w:t xml:space="preserve">PCI will provide demographics and anticipated student schedules to designated BMME Student Rotation Coordinator in a timely fashion at least two weeks prior to rotation. </w:t>
      </w:r>
    </w:p>
    <w:p w:rsidR="00774B4D" w:rsidRPr="00774B4D" w:rsidRDefault="00774B4D" w:rsidP="00774B4D">
      <w:pPr>
        <w:pStyle w:val="ListParagraph"/>
        <w:numPr>
          <w:ilvl w:val="0"/>
          <w:numId w:val="2"/>
        </w:numPr>
        <w:rPr>
          <w:rStyle w:val="Strong"/>
          <w:rFonts w:cstheme="minorHAnsi"/>
          <w:b w:val="0"/>
          <w:bCs w:val="0"/>
        </w:rPr>
      </w:pPr>
      <w:r w:rsidRPr="00774B4D">
        <w:rPr>
          <w:rStyle w:val="Strong"/>
          <w:rFonts w:cstheme="minorHAnsi"/>
          <w:b w:val="0"/>
        </w:rPr>
        <w:t xml:space="preserve">PCI bears obligation to ensure its students appropriately register with BMME office or representative. </w:t>
      </w:r>
    </w:p>
    <w:p w:rsidR="00774B4D" w:rsidRPr="00774B4D" w:rsidRDefault="00774B4D" w:rsidP="00774B4D">
      <w:pPr>
        <w:pStyle w:val="ListParagraph"/>
        <w:numPr>
          <w:ilvl w:val="0"/>
          <w:numId w:val="2"/>
        </w:numPr>
        <w:rPr>
          <w:rStyle w:val="Strong"/>
          <w:rFonts w:cstheme="minorHAnsi"/>
          <w:b w:val="0"/>
          <w:bCs w:val="0"/>
        </w:rPr>
      </w:pPr>
      <w:r w:rsidRPr="00774B4D">
        <w:rPr>
          <w:rStyle w:val="Strong"/>
          <w:rFonts w:cstheme="minorHAnsi"/>
          <w:b w:val="0"/>
        </w:rPr>
        <w:t>Repeated infractions may trigger warning, review, and/or termination of agreement.</w:t>
      </w:r>
    </w:p>
    <w:p w:rsidR="00774B4D" w:rsidRPr="00774B4D" w:rsidRDefault="00774B4D" w:rsidP="00774B4D">
      <w:pPr>
        <w:rPr>
          <w:rStyle w:val="Strong"/>
          <w:rFonts w:asciiTheme="minorHAnsi" w:hAnsiTheme="minorHAnsi" w:cstheme="minorHAnsi"/>
          <w:b w:val="0"/>
          <w:bCs w:val="0"/>
        </w:rPr>
      </w:pPr>
    </w:p>
    <w:p w:rsidR="00774B4D" w:rsidRPr="00774B4D" w:rsidRDefault="00774B4D" w:rsidP="00774B4D">
      <w:pPr>
        <w:rPr>
          <w:rStyle w:val="Strong"/>
          <w:rFonts w:asciiTheme="minorHAnsi" w:hAnsiTheme="minorHAnsi" w:cstheme="minorHAnsi"/>
          <w:b w:val="0"/>
        </w:rPr>
      </w:pPr>
      <w:r w:rsidRPr="00774B4D">
        <w:rPr>
          <w:rStyle w:val="Strong"/>
          <w:rFonts w:asciiTheme="minorHAnsi" w:hAnsiTheme="minorHAnsi" w:cstheme="minorHAnsi"/>
          <w:b w:val="0"/>
        </w:rPr>
        <w:t>M1 and M2s</w:t>
      </w:r>
    </w:p>
    <w:p w:rsidR="00774B4D" w:rsidRPr="00774B4D" w:rsidRDefault="00774B4D" w:rsidP="00774B4D">
      <w:pPr>
        <w:pStyle w:val="ListParagraph"/>
        <w:numPr>
          <w:ilvl w:val="0"/>
          <w:numId w:val="3"/>
        </w:numPr>
        <w:rPr>
          <w:rStyle w:val="Strong"/>
          <w:rFonts w:cstheme="minorHAnsi"/>
          <w:b w:val="0"/>
          <w:bCs w:val="0"/>
        </w:rPr>
      </w:pPr>
      <w:r w:rsidRPr="00774B4D">
        <w:rPr>
          <w:rStyle w:val="Strong"/>
          <w:rFonts w:cstheme="minorHAnsi"/>
          <w:b w:val="0"/>
        </w:rPr>
        <w:t>As designated to our campus by PCI as appropriate physicians or administrators are available.</w:t>
      </w:r>
    </w:p>
    <w:p w:rsidR="00774B4D" w:rsidRPr="00774B4D" w:rsidRDefault="00774B4D" w:rsidP="00774B4D">
      <w:pPr>
        <w:pStyle w:val="ListParagraph"/>
        <w:numPr>
          <w:ilvl w:val="0"/>
          <w:numId w:val="3"/>
        </w:numPr>
        <w:rPr>
          <w:rStyle w:val="Strong"/>
          <w:rFonts w:cstheme="minorHAnsi"/>
          <w:b w:val="0"/>
          <w:bCs w:val="0"/>
        </w:rPr>
      </w:pPr>
      <w:r w:rsidRPr="00774B4D">
        <w:rPr>
          <w:rStyle w:val="Strong"/>
          <w:rFonts w:cstheme="minorHAnsi"/>
          <w:b w:val="0"/>
        </w:rPr>
        <w:t>Must comply with policies and procedures set forth in “All Student Learners.”</w:t>
      </w:r>
    </w:p>
    <w:p w:rsidR="00774B4D" w:rsidRPr="00774B4D" w:rsidRDefault="00774B4D" w:rsidP="00774B4D">
      <w:pPr>
        <w:pStyle w:val="ListParagraph"/>
        <w:numPr>
          <w:ilvl w:val="0"/>
          <w:numId w:val="3"/>
        </w:numPr>
        <w:rPr>
          <w:rStyle w:val="Strong"/>
          <w:rFonts w:cstheme="minorHAnsi"/>
          <w:b w:val="0"/>
          <w:bCs w:val="0"/>
        </w:rPr>
      </w:pPr>
      <w:r w:rsidRPr="00774B4D">
        <w:rPr>
          <w:rStyle w:val="Strong"/>
          <w:rFonts w:cstheme="minorHAnsi"/>
          <w:b w:val="0"/>
        </w:rPr>
        <w:t xml:space="preserve">These students typically shadow physicians for several half days per year in a clinical or administrative environment. </w:t>
      </w:r>
    </w:p>
    <w:p w:rsidR="00774B4D" w:rsidRPr="00774B4D" w:rsidRDefault="00774B4D" w:rsidP="00774B4D">
      <w:pPr>
        <w:pStyle w:val="ListParagraph"/>
        <w:numPr>
          <w:ilvl w:val="0"/>
          <w:numId w:val="3"/>
        </w:numPr>
        <w:rPr>
          <w:rStyle w:val="Strong"/>
          <w:rFonts w:cstheme="minorHAnsi"/>
          <w:b w:val="0"/>
          <w:bCs w:val="0"/>
        </w:rPr>
      </w:pPr>
      <w:r w:rsidRPr="00774B4D">
        <w:rPr>
          <w:rStyle w:val="Strong"/>
          <w:rFonts w:cstheme="minorHAnsi"/>
          <w:b w:val="0"/>
        </w:rPr>
        <w:t>Physicians or Administrators may volunteer to host student.</w:t>
      </w:r>
    </w:p>
    <w:p w:rsidR="00774B4D" w:rsidRPr="00774B4D" w:rsidRDefault="00774B4D" w:rsidP="00774B4D">
      <w:pPr>
        <w:rPr>
          <w:rStyle w:val="Strong"/>
          <w:rFonts w:asciiTheme="minorHAnsi" w:hAnsiTheme="minorHAnsi" w:cstheme="minorHAnsi"/>
          <w:b w:val="0"/>
          <w:bCs w:val="0"/>
        </w:rPr>
      </w:pPr>
    </w:p>
    <w:p w:rsidR="00774B4D" w:rsidRPr="00774B4D" w:rsidRDefault="00774B4D" w:rsidP="00774B4D">
      <w:pPr>
        <w:rPr>
          <w:rStyle w:val="Strong"/>
          <w:rFonts w:asciiTheme="minorHAnsi" w:hAnsiTheme="minorHAnsi" w:cstheme="minorHAnsi"/>
          <w:b w:val="0"/>
        </w:rPr>
      </w:pPr>
      <w:r w:rsidRPr="00774B4D">
        <w:rPr>
          <w:rStyle w:val="Strong"/>
          <w:rFonts w:asciiTheme="minorHAnsi" w:hAnsiTheme="minorHAnsi" w:cstheme="minorHAnsi"/>
          <w:b w:val="0"/>
        </w:rPr>
        <w:lastRenderedPageBreak/>
        <w:t>M3s and PAS</w:t>
      </w:r>
    </w:p>
    <w:p w:rsidR="00774B4D" w:rsidRPr="00774B4D" w:rsidRDefault="00774B4D" w:rsidP="00774B4D">
      <w:pPr>
        <w:pStyle w:val="ListParagraph"/>
        <w:numPr>
          <w:ilvl w:val="0"/>
          <w:numId w:val="4"/>
        </w:numPr>
        <w:rPr>
          <w:rStyle w:val="Strong"/>
          <w:rFonts w:cstheme="minorHAnsi"/>
          <w:b w:val="0"/>
          <w:bCs w:val="0"/>
        </w:rPr>
      </w:pPr>
      <w:r w:rsidRPr="00774B4D">
        <w:rPr>
          <w:rStyle w:val="Strong"/>
          <w:rFonts w:cstheme="minorHAnsi"/>
          <w:b w:val="0"/>
        </w:rPr>
        <w:t>As designated to our campus by PCI.</w:t>
      </w:r>
    </w:p>
    <w:p w:rsidR="00774B4D" w:rsidRPr="00774B4D" w:rsidRDefault="00774B4D" w:rsidP="00774B4D">
      <w:pPr>
        <w:pStyle w:val="ListParagraph"/>
        <w:numPr>
          <w:ilvl w:val="0"/>
          <w:numId w:val="4"/>
        </w:numPr>
        <w:rPr>
          <w:rStyle w:val="Strong"/>
          <w:rFonts w:cstheme="minorHAnsi"/>
          <w:b w:val="0"/>
          <w:bCs w:val="0"/>
        </w:rPr>
      </w:pPr>
      <w:r w:rsidRPr="00774B4D">
        <w:rPr>
          <w:rStyle w:val="Strong"/>
          <w:rFonts w:cstheme="minorHAnsi"/>
          <w:b w:val="0"/>
        </w:rPr>
        <w:t>Must comply with policies and procedures set forth in “All Student Learners.”</w:t>
      </w:r>
    </w:p>
    <w:p w:rsidR="00774B4D" w:rsidRPr="00774B4D" w:rsidRDefault="00774B4D" w:rsidP="00774B4D">
      <w:pPr>
        <w:pStyle w:val="ListParagraph"/>
        <w:numPr>
          <w:ilvl w:val="0"/>
          <w:numId w:val="4"/>
        </w:numPr>
        <w:rPr>
          <w:rStyle w:val="Strong"/>
          <w:rFonts w:cstheme="minorHAnsi"/>
          <w:b w:val="0"/>
          <w:bCs w:val="0"/>
        </w:rPr>
      </w:pPr>
      <w:r w:rsidRPr="00774B4D">
        <w:rPr>
          <w:rStyle w:val="Strong"/>
          <w:rFonts w:cstheme="minorHAnsi"/>
          <w:b w:val="0"/>
        </w:rPr>
        <w:t xml:space="preserve">Students participate in clerkship experience and other principal clinical learning. Such clinical rotations include general surgery, obstetrics and gynecology, inpatient medicine, family medicine, ambulatory medicine, emergency medicine, and pediatrics. </w:t>
      </w:r>
    </w:p>
    <w:p w:rsidR="00774B4D" w:rsidRPr="00774B4D" w:rsidRDefault="00774B4D" w:rsidP="00774B4D">
      <w:pPr>
        <w:pStyle w:val="ListParagraph"/>
        <w:numPr>
          <w:ilvl w:val="0"/>
          <w:numId w:val="4"/>
        </w:numPr>
        <w:rPr>
          <w:rStyle w:val="Strong"/>
          <w:rFonts w:cstheme="minorHAnsi"/>
          <w:b w:val="0"/>
          <w:bCs w:val="0"/>
        </w:rPr>
      </w:pPr>
      <w:r w:rsidRPr="00774B4D">
        <w:rPr>
          <w:rStyle w:val="Strong"/>
          <w:rFonts w:cstheme="minorHAnsi"/>
          <w:b w:val="0"/>
        </w:rPr>
        <w:t>BMME has an obligation to provide available clerkship positions to students from its PCI as negotiated via contract and these positions are reserved for such students. (Example: Family Medicine will accept three M3 students from NYIT on its hospital service every month, as placed by NYIT).</w:t>
      </w:r>
    </w:p>
    <w:p w:rsidR="00774B4D" w:rsidRPr="00774B4D" w:rsidRDefault="00774B4D" w:rsidP="00774B4D">
      <w:pPr>
        <w:pStyle w:val="ListParagraph"/>
        <w:numPr>
          <w:ilvl w:val="0"/>
          <w:numId w:val="4"/>
        </w:numPr>
        <w:rPr>
          <w:rStyle w:val="Strong"/>
          <w:rFonts w:cstheme="minorHAnsi"/>
          <w:b w:val="0"/>
          <w:bCs w:val="0"/>
        </w:rPr>
      </w:pPr>
      <w:r w:rsidRPr="00774B4D">
        <w:rPr>
          <w:rStyle w:val="Strong"/>
          <w:rFonts w:cstheme="minorHAnsi"/>
          <w:b w:val="0"/>
        </w:rPr>
        <w:t xml:space="preserve">Clerkships are generally NOT offered to M3s outside of a designated PCI Clerkship. </w:t>
      </w:r>
    </w:p>
    <w:p w:rsidR="00774B4D" w:rsidRPr="00774B4D" w:rsidRDefault="00774B4D" w:rsidP="00774B4D">
      <w:pPr>
        <w:pStyle w:val="ListParagraph"/>
        <w:rPr>
          <w:rStyle w:val="Strong"/>
          <w:rFonts w:cstheme="minorHAnsi"/>
          <w:b w:val="0"/>
          <w:bCs w:val="0"/>
        </w:rPr>
      </w:pPr>
      <w:r w:rsidRPr="00774B4D">
        <w:rPr>
          <w:rStyle w:val="Strong"/>
          <w:rFonts w:cstheme="minorHAnsi"/>
          <w:b w:val="0"/>
        </w:rPr>
        <w:t xml:space="preserve">Exception: Electives may be offered IF AVAILABLE to students from PCI or SCI.  Rules for M4 and electives apply. See below. </w:t>
      </w:r>
    </w:p>
    <w:p w:rsidR="00774B4D" w:rsidRPr="00774B4D" w:rsidRDefault="00774B4D" w:rsidP="00774B4D">
      <w:pPr>
        <w:rPr>
          <w:rStyle w:val="Strong"/>
          <w:rFonts w:asciiTheme="minorHAnsi" w:hAnsiTheme="minorHAnsi" w:cstheme="minorHAnsi"/>
          <w:b w:val="0"/>
          <w:bCs w:val="0"/>
        </w:rPr>
      </w:pPr>
    </w:p>
    <w:p w:rsidR="00774B4D" w:rsidRPr="00774B4D" w:rsidRDefault="00774B4D" w:rsidP="00774B4D">
      <w:pPr>
        <w:rPr>
          <w:rStyle w:val="Strong"/>
          <w:rFonts w:asciiTheme="minorHAnsi" w:hAnsiTheme="minorHAnsi" w:cstheme="minorHAnsi"/>
          <w:b w:val="0"/>
        </w:rPr>
      </w:pPr>
      <w:r w:rsidRPr="00774B4D">
        <w:rPr>
          <w:rStyle w:val="Strong"/>
          <w:rFonts w:asciiTheme="minorHAnsi" w:hAnsiTheme="minorHAnsi" w:cstheme="minorHAnsi"/>
          <w:b w:val="0"/>
        </w:rPr>
        <w:t>M4s</w:t>
      </w:r>
    </w:p>
    <w:p w:rsidR="00774B4D" w:rsidRPr="00774B4D" w:rsidRDefault="00774B4D" w:rsidP="00774B4D">
      <w:pPr>
        <w:pStyle w:val="ListParagraph"/>
        <w:numPr>
          <w:ilvl w:val="0"/>
          <w:numId w:val="5"/>
        </w:numPr>
        <w:rPr>
          <w:rStyle w:val="Strong"/>
          <w:rFonts w:cstheme="minorHAnsi"/>
          <w:b w:val="0"/>
          <w:bCs w:val="0"/>
        </w:rPr>
      </w:pPr>
      <w:r w:rsidRPr="00774B4D">
        <w:rPr>
          <w:rStyle w:val="Strong"/>
          <w:rFonts w:cstheme="minorHAnsi"/>
          <w:b w:val="0"/>
        </w:rPr>
        <w:t>Must comply with policies and procedures set forth in “All Student Learners.”</w:t>
      </w:r>
    </w:p>
    <w:p w:rsidR="00774B4D" w:rsidRPr="00774B4D" w:rsidRDefault="00774B4D" w:rsidP="00774B4D">
      <w:pPr>
        <w:pStyle w:val="ListParagraph"/>
        <w:numPr>
          <w:ilvl w:val="0"/>
          <w:numId w:val="5"/>
        </w:numPr>
        <w:rPr>
          <w:rStyle w:val="Strong"/>
          <w:rFonts w:cstheme="minorHAnsi"/>
          <w:b w:val="0"/>
          <w:bCs w:val="0"/>
        </w:rPr>
      </w:pPr>
      <w:r w:rsidRPr="00774B4D">
        <w:rPr>
          <w:rStyle w:val="Strong"/>
          <w:rFonts w:cstheme="minorHAnsi"/>
          <w:b w:val="0"/>
        </w:rPr>
        <w:t>Students who desire an elective, sub-internship, or junior internship must apply directly to the teaching program or attending physician and be approved and accepted by same.</w:t>
      </w:r>
    </w:p>
    <w:p w:rsidR="00774B4D" w:rsidRPr="00774B4D" w:rsidRDefault="00774B4D" w:rsidP="00774B4D">
      <w:pPr>
        <w:pStyle w:val="ListParagraph"/>
        <w:numPr>
          <w:ilvl w:val="0"/>
          <w:numId w:val="5"/>
        </w:numPr>
        <w:rPr>
          <w:rStyle w:val="Strong"/>
          <w:rFonts w:cstheme="minorHAnsi"/>
          <w:b w:val="0"/>
          <w:bCs w:val="0"/>
        </w:rPr>
      </w:pPr>
      <w:r w:rsidRPr="00774B4D">
        <w:rPr>
          <w:rStyle w:val="Strong"/>
          <w:rFonts w:cstheme="minorHAnsi"/>
          <w:b w:val="0"/>
        </w:rPr>
        <w:t xml:space="preserve">Baptist has no obligation to provide this training outside of existing agreements for electives with collaborative institutions. </w:t>
      </w:r>
    </w:p>
    <w:p w:rsidR="00774B4D" w:rsidRPr="00774B4D" w:rsidRDefault="00774B4D" w:rsidP="00774B4D">
      <w:pPr>
        <w:pStyle w:val="ListParagraph"/>
        <w:numPr>
          <w:ilvl w:val="0"/>
          <w:numId w:val="5"/>
        </w:numPr>
        <w:rPr>
          <w:rStyle w:val="Strong"/>
          <w:rFonts w:cstheme="minorHAnsi"/>
          <w:b w:val="0"/>
          <w:bCs w:val="0"/>
        </w:rPr>
      </w:pPr>
      <w:r w:rsidRPr="00774B4D">
        <w:rPr>
          <w:rStyle w:val="Strong"/>
          <w:rFonts w:cstheme="minorHAnsi"/>
          <w:b w:val="0"/>
        </w:rPr>
        <w:t xml:space="preserve">Baptist does have an obligation to ensure that M4 electives do not negatively impact M3 clerkship experiences. </w:t>
      </w:r>
    </w:p>
    <w:p w:rsidR="00774B4D" w:rsidRPr="00774B4D" w:rsidRDefault="00774B4D" w:rsidP="00774B4D">
      <w:pPr>
        <w:rPr>
          <w:rStyle w:val="Strong"/>
          <w:rFonts w:asciiTheme="minorHAnsi" w:hAnsiTheme="minorHAnsi" w:cstheme="minorHAnsi"/>
          <w:b w:val="0"/>
        </w:rPr>
      </w:pPr>
    </w:p>
    <w:p w:rsidR="00774B4D" w:rsidRPr="00774B4D" w:rsidRDefault="00774B4D" w:rsidP="00774B4D">
      <w:pPr>
        <w:rPr>
          <w:rStyle w:val="Strong"/>
          <w:rFonts w:asciiTheme="minorHAnsi" w:hAnsiTheme="minorHAnsi" w:cstheme="minorHAnsi"/>
          <w:b w:val="0"/>
        </w:rPr>
      </w:pPr>
      <w:r w:rsidRPr="00774B4D">
        <w:rPr>
          <w:rStyle w:val="Strong"/>
          <w:rFonts w:asciiTheme="minorHAnsi" w:hAnsiTheme="minorHAnsi" w:cstheme="minorHAnsi"/>
          <w:b w:val="0"/>
        </w:rPr>
        <w:t>Non- Accredited Physicians</w:t>
      </w:r>
    </w:p>
    <w:p w:rsidR="00774B4D" w:rsidRPr="00774B4D" w:rsidRDefault="00774B4D" w:rsidP="00774B4D">
      <w:pPr>
        <w:pStyle w:val="ListParagraph"/>
        <w:numPr>
          <w:ilvl w:val="0"/>
          <w:numId w:val="6"/>
        </w:numPr>
        <w:rPr>
          <w:rStyle w:val="Strong"/>
          <w:rFonts w:cstheme="minorHAnsi"/>
          <w:b w:val="0"/>
          <w:bCs w:val="0"/>
        </w:rPr>
      </w:pPr>
      <w:r w:rsidRPr="00774B4D">
        <w:rPr>
          <w:rStyle w:val="Strong"/>
          <w:rFonts w:cstheme="minorHAnsi"/>
          <w:b w:val="0"/>
        </w:rPr>
        <w:t>Non- accredited physicians do not fall under the scope of this policy and are governed by relevant BMME GMEC Policy.</w:t>
      </w:r>
    </w:p>
    <w:p w:rsidR="00774B4D" w:rsidRPr="00774B4D" w:rsidRDefault="00774B4D" w:rsidP="00774B4D">
      <w:pPr>
        <w:pStyle w:val="ListParagraph"/>
        <w:numPr>
          <w:ilvl w:val="1"/>
          <w:numId w:val="6"/>
        </w:numPr>
        <w:rPr>
          <w:rStyle w:val="Strong"/>
          <w:rFonts w:cstheme="minorHAnsi"/>
          <w:b w:val="0"/>
          <w:bCs w:val="0"/>
        </w:rPr>
      </w:pPr>
      <w:r w:rsidRPr="00774B4D">
        <w:rPr>
          <w:rStyle w:val="Strong"/>
          <w:rFonts w:cstheme="minorHAnsi"/>
          <w:b w:val="0"/>
        </w:rPr>
        <w:t>N.B. Non- Accredited physicians who desire a clinical experience must apply directly to and be approved and accepted by the teaching program or attending physician. Non- accredited physicians are NOT permitted to interact with patients. They are only permitted to shadow as OBSERVERS</w:t>
      </w:r>
    </w:p>
    <w:p w:rsidR="00774B4D" w:rsidRDefault="00774B4D" w:rsidP="00774B4D">
      <w:pPr>
        <w:rPr>
          <w:rStyle w:val="Strong"/>
          <w:rFonts w:asciiTheme="minorHAnsi" w:hAnsiTheme="minorHAnsi" w:cstheme="minorHAnsi"/>
          <w:b w:val="0"/>
          <w:bCs w:val="0"/>
        </w:rPr>
      </w:pPr>
      <w:r>
        <w:rPr>
          <w:rStyle w:val="Strong"/>
          <w:rFonts w:asciiTheme="minorHAnsi" w:hAnsiTheme="minorHAnsi" w:cstheme="minorHAnsi"/>
          <w:b w:val="0"/>
          <w:bCs w:val="0"/>
        </w:rPr>
        <w:t xml:space="preserve">Definitions: </w:t>
      </w:r>
    </w:p>
    <w:p w:rsidR="00774B4D" w:rsidRPr="00774B4D" w:rsidRDefault="00774B4D" w:rsidP="00774B4D">
      <w:pPr>
        <w:rPr>
          <w:rStyle w:val="Strong"/>
          <w:rFonts w:asciiTheme="minorHAnsi" w:hAnsiTheme="minorHAnsi" w:cstheme="minorHAnsi"/>
          <w:b w:val="0"/>
        </w:rPr>
      </w:pPr>
      <w:r w:rsidRPr="00774B4D">
        <w:rPr>
          <w:rStyle w:val="Strong"/>
          <w:rFonts w:asciiTheme="minorHAnsi" w:hAnsiTheme="minorHAnsi" w:cstheme="minorHAnsi"/>
          <w:b w:val="0"/>
        </w:rPr>
        <w:t>Student Learners:</w:t>
      </w:r>
    </w:p>
    <w:p w:rsidR="00351C09" w:rsidRDefault="00351C09" w:rsidP="00774B4D">
      <w:pPr>
        <w:rPr>
          <w:rStyle w:val="Strong"/>
          <w:rFonts w:asciiTheme="minorHAnsi" w:hAnsiTheme="minorHAnsi" w:cstheme="minorHAnsi"/>
          <w:b w:val="0"/>
          <w:sz w:val="20"/>
        </w:rPr>
      </w:pPr>
    </w:p>
    <w:p w:rsidR="00774B4D" w:rsidRPr="00774B4D" w:rsidRDefault="00774B4D" w:rsidP="00774B4D">
      <w:pPr>
        <w:rPr>
          <w:rStyle w:val="Strong"/>
          <w:rFonts w:asciiTheme="minorHAnsi" w:hAnsiTheme="minorHAnsi" w:cstheme="minorHAnsi"/>
          <w:b w:val="0"/>
          <w:bCs w:val="0"/>
          <w:sz w:val="20"/>
        </w:rPr>
      </w:pPr>
      <w:r w:rsidRPr="00774B4D">
        <w:rPr>
          <w:rStyle w:val="Strong"/>
          <w:rFonts w:asciiTheme="minorHAnsi" w:hAnsiTheme="minorHAnsi" w:cstheme="minorHAnsi"/>
          <w:b w:val="0"/>
          <w:sz w:val="20"/>
        </w:rPr>
        <w:t xml:space="preserve">BMME asserts jurisdiction over medical students, physician assistant students, and some types of physician learners. </w:t>
      </w:r>
    </w:p>
    <w:p w:rsidR="00774B4D" w:rsidRPr="00774B4D" w:rsidRDefault="00774B4D" w:rsidP="00774B4D">
      <w:pPr>
        <w:rPr>
          <w:rStyle w:val="Strong"/>
          <w:rFonts w:asciiTheme="minorHAnsi" w:hAnsiTheme="minorHAnsi" w:cstheme="minorHAnsi"/>
          <w:b w:val="0"/>
          <w:bCs w:val="0"/>
          <w:sz w:val="20"/>
        </w:rPr>
      </w:pPr>
      <w:r w:rsidRPr="00774B4D">
        <w:rPr>
          <w:rStyle w:val="Strong"/>
          <w:rFonts w:asciiTheme="minorHAnsi" w:hAnsiTheme="minorHAnsi" w:cstheme="minorHAnsi"/>
          <w:b w:val="0"/>
          <w:sz w:val="20"/>
        </w:rPr>
        <w:t xml:space="preserve">Physician Learners: </w:t>
      </w:r>
    </w:p>
    <w:p w:rsidR="00774B4D" w:rsidRPr="00774B4D" w:rsidRDefault="00774B4D" w:rsidP="00774B4D">
      <w:pPr>
        <w:pStyle w:val="ListParagraph"/>
        <w:numPr>
          <w:ilvl w:val="0"/>
          <w:numId w:val="7"/>
        </w:numPr>
        <w:rPr>
          <w:rStyle w:val="Strong"/>
          <w:rFonts w:cstheme="minorHAnsi"/>
          <w:b w:val="0"/>
          <w:bCs w:val="0"/>
        </w:rPr>
      </w:pPr>
      <w:r w:rsidRPr="00774B4D">
        <w:rPr>
          <w:rStyle w:val="Strong"/>
          <w:rFonts w:cstheme="minorHAnsi"/>
          <w:b w:val="0"/>
        </w:rPr>
        <w:t xml:space="preserve">Residents - Physicians enrolled in an accredited residency program. See GME Policies and Procedures. </w:t>
      </w:r>
    </w:p>
    <w:p w:rsidR="00774B4D" w:rsidRPr="00774B4D" w:rsidRDefault="00774B4D" w:rsidP="00774B4D">
      <w:pPr>
        <w:pStyle w:val="ListParagraph"/>
        <w:numPr>
          <w:ilvl w:val="0"/>
          <w:numId w:val="7"/>
        </w:numPr>
        <w:rPr>
          <w:rStyle w:val="Strong"/>
          <w:rFonts w:cstheme="minorHAnsi"/>
          <w:b w:val="0"/>
          <w:bCs w:val="0"/>
        </w:rPr>
      </w:pPr>
      <w:r w:rsidRPr="00774B4D">
        <w:rPr>
          <w:rStyle w:val="Strong"/>
          <w:rFonts w:cstheme="minorHAnsi"/>
          <w:b w:val="0"/>
        </w:rPr>
        <w:t xml:space="preserve">Non-Accredited Physicians – Physicians who have attained MD, DO, or equivalent degree but have not completed (nor are currently enrolled in) an accredited residency training program. See GME Policies and Procedures. Refer to Asst. DIO. </w:t>
      </w:r>
    </w:p>
    <w:p w:rsidR="00774B4D" w:rsidRPr="00774B4D" w:rsidRDefault="00774B4D" w:rsidP="00774B4D">
      <w:pPr>
        <w:pStyle w:val="ListParagraph"/>
        <w:numPr>
          <w:ilvl w:val="0"/>
          <w:numId w:val="7"/>
        </w:numPr>
        <w:rPr>
          <w:rStyle w:val="Strong"/>
          <w:rFonts w:cstheme="minorHAnsi"/>
          <w:b w:val="0"/>
          <w:bCs w:val="0"/>
        </w:rPr>
      </w:pPr>
      <w:r w:rsidRPr="00774B4D">
        <w:rPr>
          <w:rStyle w:val="Strong"/>
          <w:rFonts w:cstheme="minorHAnsi"/>
          <w:b w:val="0"/>
        </w:rPr>
        <w:t xml:space="preserve">Accredited Physicians – Licensed and Accredited Physicians do not fall under GME. Please contact Physician Services at the appropriate Baptist facility for more information. </w:t>
      </w:r>
    </w:p>
    <w:p w:rsidR="00774B4D" w:rsidRPr="00774B4D" w:rsidRDefault="00774B4D" w:rsidP="00774B4D">
      <w:pPr>
        <w:rPr>
          <w:rStyle w:val="Strong"/>
          <w:rFonts w:asciiTheme="minorHAnsi" w:hAnsiTheme="minorHAnsi" w:cstheme="minorHAnsi"/>
          <w:b w:val="0"/>
          <w:bCs w:val="0"/>
        </w:rPr>
      </w:pPr>
      <w:r w:rsidRPr="00774B4D">
        <w:rPr>
          <w:rStyle w:val="Strong"/>
          <w:rFonts w:asciiTheme="minorHAnsi" w:hAnsiTheme="minorHAnsi" w:cstheme="minorHAnsi"/>
          <w:b w:val="0"/>
        </w:rPr>
        <w:t>Physician Assistant Students</w:t>
      </w:r>
    </w:p>
    <w:p w:rsidR="00774B4D" w:rsidRPr="00774B4D" w:rsidRDefault="00774B4D" w:rsidP="00774B4D">
      <w:pPr>
        <w:pStyle w:val="ListParagraph"/>
        <w:numPr>
          <w:ilvl w:val="0"/>
          <w:numId w:val="8"/>
        </w:numPr>
        <w:rPr>
          <w:rStyle w:val="Strong"/>
          <w:rFonts w:cstheme="minorHAnsi"/>
          <w:b w:val="0"/>
          <w:bCs w:val="0"/>
        </w:rPr>
      </w:pPr>
      <w:r w:rsidRPr="00774B4D">
        <w:rPr>
          <w:rStyle w:val="Strong"/>
          <w:rFonts w:cstheme="minorHAnsi"/>
          <w:b w:val="0"/>
        </w:rPr>
        <w:t xml:space="preserve">Physician Assistant Students (PAS) – those students currently enrolled in accredited Physician Assistant Programs. </w:t>
      </w:r>
    </w:p>
    <w:p w:rsidR="00774B4D" w:rsidRPr="00774B4D" w:rsidRDefault="00774B4D" w:rsidP="00774B4D">
      <w:pPr>
        <w:rPr>
          <w:rStyle w:val="Strong"/>
          <w:rFonts w:asciiTheme="minorHAnsi" w:hAnsiTheme="minorHAnsi" w:cstheme="minorHAnsi"/>
          <w:b w:val="0"/>
          <w:bCs w:val="0"/>
        </w:rPr>
      </w:pPr>
      <w:r w:rsidRPr="00774B4D">
        <w:rPr>
          <w:rStyle w:val="Strong"/>
          <w:rFonts w:asciiTheme="minorHAnsi" w:hAnsiTheme="minorHAnsi" w:cstheme="minorHAnsi"/>
          <w:b w:val="0"/>
        </w:rPr>
        <w:lastRenderedPageBreak/>
        <w:t xml:space="preserve">Medical Students: </w:t>
      </w:r>
    </w:p>
    <w:p w:rsidR="00774B4D" w:rsidRPr="00774B4D" w:rsidRDefault="00774B4D" w:rsidP="00774B4D">
      <w:pPr>
        <w:pStyle w:val="ListParagraph"/>
        <w:numPr>
          <w:ilvl w:val="0"/>
          <w:numId w:val="9"/>
        </w:numPr>
        <w:rPr>
          <w:rStyle w:val="Strong"/>
          <w:rFonts w:cstheme="minorHAnsi"/>
          <w:b w:val="0"/>
          <w:bCs w:val="0"/>
        </w:rPr>
      </w:pPr>
      <w:r w:rsidRPr="00774B4D">
        <w:rPr>
          <w:rStyle w:val="Strong"/>
          <w:rFonts w:cstheme="minorHAnsi"/>
          <w:b w:val="0"/>
        </w:rPr>
        <w:t>1</w:t>
      </w:r>
      <w:r w:rsidRPr="00774B4D">
        <w:rPr>
          <w:rStyle w:val="Strong"/>
          <w:rFonts w:cstheme="minorHAnsi"/>
          <w:b w:val="0"/>
          <w:vertAlign w:val="superscript"/>
        </w:rPr>
        <w:t>st</w:t>
      </w:r>
      <w:r w:rsidRPr="00774B4D">
        <w:rPr>
          <w:rStyle w:val="Strong"/>
          <w:rFonts w:cstheme="minorHAnsi"/>
          <w:b w:val="0"/>
        </w:rPr>
        <w:t xml:space="preserve"> and 2</w:t>
      </w:r>
      <w:r w:rsidRPr="00774B4D">
        <w:rPr>
          <w:rStyle w:val="Strong"/>
          <w:rFonts w:cstheme="minorHAnsi"/>
          <w:b w:val="0"/>
          <w:vertAlign w:val="superscript"/>
        </w:rPr>
        <w:t>nd</w:t>
      </w:r>
      <w:r w:rsidRPr="00774B4D">
        <w:rPr>
          <w:rStyle w:val="Strong"/>
          <w:rFonts w:cstheme="minorHAnsi"/>
          <w:b w:val="0"/>
        </w:rPr>
        <w:t xml:space="preserve"> Year Medical Students – 1</w:t>
      </w:r>
      <w:r w:rsidRPr="00774B4D">
        <w:rPr>
          <w:rStyle w:val="Strong"/>
          <w:rFonts w:cstheme="minorHAnsi"/>
          <w:b w:val="0"/>
          <w:vertAlign w:val="superscript"/>
        </w:rPr>
        <w:t>st</w:t>
      </w:r>
      <w:r w:rsidRPr="00774B4D">
        <w:rPr>
          <w:rStyle w:val="Strong"/>
          <w:rFonts w:cstheme="minorHAnsi"/>
          <w:b w:val="0"/>
        </w:rPr>
        <w:t xml:space="preserve"> or 2</w:t>
      </w:r>
      <w:r w:rsidRPr="00774B4D">
        <w:rPr>
          <w:rStyle w:val="Strong"/>
          <w:rFonts w:cstheme="minorHAnsi"/>
          <w:b w:val="0"/>
          <w:vertAlign w:val="superscript"/>
        </w:rPr>
        <w:t>nd</w:t>
      </w:r>
      <w:r w:rsidRPr="00774B4D">
        <w:rPr>
          <w:rStyle w:val="Strong"/>
          <w:rFonts w:cstheme="minorHAnsi"/>
          <w:b w:val="0"/>
        </w:rPr>
        <w:t xml:space="preserve"> year Allopathic or Osteopathic Students enrolled in an accredited training program. These students typically shadow physicians for several half days per year in a clinical environment. </w:t>
      </w:r>
    </w:p>
    <w:p w:rsidR="00774B4D" w:rsidRPr="00774B4D" w:rsidRDefault="00774B4D" w:rsidP="00774B4D">
      <w:pPr>
        <w:pStyle w:val="ListParagraph"/>
        <w:numPr>
          <w:ilvl w:val="0"/>
          <w:numId w:val="9"/>
        </w:numPr>
        <w:rPr>
          <w:rStyle w:val="Strong"/>
          <w:rFonts w:cstheme="minorHAnsi"/>
          <w:b w:val="0"/>
          <w:bCs w:val="0"/>
        </w:rPr>
      </w:pPr>
      <w:r w:rsidRPr="00774B4D">
        <w:rPr>
          <w:rStyle w:val="Strong"/>
          <w:rFonts w:cstheme="minorHAnsi"/>
          <w:b w:val="0"/>
        </w:rPr>
        <w:t>3</w:t>
      </w:r>
      <w:r w:rsidRPr="00774B4D">
        <w:rPr>
          <w:rStyle w:val="Strong"/>
          <w:rFonts w:cstheme="minorHAnsi"/>
          <w:b w:val="0"/>
          <w:vertAlign w:val="superscript"/>
        </w:rPr>
        <w:t>rd</w:t>
      </w:r>
      <w:r w:rsidRPr="00774B4D">
        <w:rPr>
          <w:rStyle w:val="Strong"/>
          <w:rFonts w:cstheme="minorHAnsi"/>
          <w:b w:val="0"/>
        </w:rPr>
        <w:t xml:space="preserve"> Year Medical Students – 3</w:t>
      </w:r>
      <w:r w:rsidRPr="00774B4D">
        <w:rPr>
          <w:rStyle w:val="Strong"/>
          <w:rFonts w:cstheme="minorHAnsi"/>
          <w:b w:val="0"/>
          <w:vertAlign w:val="superscript"/>
        </w:rPr>
        <w:t>rd</w:t>
      </w:r>
      <w:r w:rsidRPr="00774B4D">
        <w:rPr>
          <w:rStyle w:val="Strong"/>
          <w:rFonts w:cstheme="minorHAnsi"/>
          <w:b w:val="0"/>
        </w:rPr>
        <w:t xml:space="preserve"> year Allopathic or Osteopathic Students (M3) enrolled in an accredited training program. These students participate in clerkship experience and other principal clinical learning such as surgery, obstetrics and gynecology, inpatient medicine, family medicine, ambulatory medicine, and emergency medicine.</w:t>
      </w:r>
    </w:p>
    <w:p w:rsidR="00774B4D" w:rsidRPr="00774B4D" w:rsidRDefault="00774B4D" w:rsidP="00774B4D">
      <w:pPr>
        <w:pStyle w:val="ListParagraph"/>
        <w:numPr>
          <w:ilvl w:val="0"/>
          <w:numId w:val="9"/>
        </w:numPr>
        <w:rPr>
          <w:rStyle w:val="Strong"/>
          <w:rFonts w:cstheme="minorHAnsi"/>
          <w:b w:val="0"/>
          <w:bCs w:val="0"/>
        </w:rPr>
      </w:pPr>
      <w:r w:rsidRPr="00774B4D">
        <w:rPr>
          <w:rStyle w:val="Strong"/>
          <w:rFonts w:cstheme="minorHAnsi"/>
          <w:b w:val="0"/>
        </w:rPr>
        <w:t>4</w:t>
      </w:r>
      <w:r w:rsidRPr="00774B4D">
        <w:rPr>
          <w:rStyle w:val="Strong"/>
          <w:rFonts w:cstheme="minorHAnsi"/>
          <w:b w:val="0"/>
          <w:vertAlign w:val="superscript"/>
        </w:rPr>
        <w:t>th</w:t>
      </w:r>
      <w:r w:rsidRPr="00774B4D">
        <w:rPr>
          <w:rStyle w:val="Strong"/>
          <w:rFonts w:cstheme="minorHAnsi"/>
          <w:b w:val="0"/>
        </w:rPr>
        <w:t xml:space="preserve"> year Medical Students - 4</w:t>
      </w:r>
      <w:r w:rsidRPr="00774B4D">
        <w:rPr>
          <w:rStyle w:val="Strong"/>
          <w:rFonts w:cstheme="minorHAnsi"/>
          <w:b w:val="0"/>
          <w:vertAlign w:val="superscript"/>
        </w:rPr>
        <w:t>rd</w:t>
      </w:r>
      <w:r w:rsidRPr="00774B4D">
        <w:rPr>
          <w:rStyle w:val="Strong"/>
          <w:rFonts w:cstheme="minorHAnsi"/>
          <w:b w:val="0"/>
        </w:rPr>
        <w:t xml:space="preserve"> year Allopathic or Osteopathic Students (M4) enrolled in an accredited training program. These students participate in electives, sub-internships (SI), and junior internships. Baptist has no obligation to provide this training outside of existing agreements for electives with collaborative institutions. Students who desire an elective, sub-internship, or junior internship must apply directly to and be approved and accepted by the teaching program or attending physician.</w:t>
      </w:r>
    </w:p>
    <w:p w:rsidR="00774B4D" w:rsidRPr="00774B4D" w:rsidRDefault="00774B4D" w:rsidP="00774B4D">
      <w:pPr>
        <w:pStyle w:val="ListParagraph"/>
        <w:ind w:left="1080"/>
        <w:rPr>
          <w:rStyle w:val="Strong"/>
          <w:rFonts w:cstheme="minorHAnsi"/>
          <w:b w:val="0"/>
          <w:bCs w:val="0"/>
        </w:rPr>
      </w:pPr>
    </w:p>
    <w:p w:rsidR="00774B4D" w:rsidRPr="00774B4D" w:rsidRDefault="00774B4D" w:rsidP="00774B4D">
      <w:pPr>
        <w:rPr>
          <w:rStyle w:val="Strong"/>
          <w:rFonts w:asciiTheme="minorHAnsi" w:hAnsiTheme="minorHAnsi" w:cstheme="minorHAnsi"/>
          <w:b w:val="0"/>
          <w:bCs w:val="0"/>
        </w:rPr>
      </w:pPr>
      <w:r w:rsidRPr="00774B4D">
        <w:rPr>
          <w:rStyle w:val="Strong"/>
          <w:rFonts w:asciiTheme="minorHAnsi" w:hAnsiTheme="minorHAnsi" w:cstheme="minorHAnsi"/>
          <w:b w:val="0"/>
        </w:rPr>
        <w:t>Primary Collaborative Institutions:</w:t>
      </w:r>
    </w:p>
    <w:p w:rsidR="00774B4D" w:rsidRPr="001138BB" w:rsidRDefault="00774B4D" w:rsidP="00774B4D">
      <w:pPr>
        <w:ind w:firstLine="720"/>
        <w:rPr>
          <w:rStyle w:val="Strong"/>
          <w:rFonts w:asciiTheme="minorHAnsi" w:hAnsiTheme="minorHAnsi" w:cstheme="minorHAnsi"/>
          <w:b w:val="0"/>
          <w:bCs w:val="0"/>
          <w:sz w:val="20"/>
        </w:rPr>
      </w:pPr>
      <w:r w:rsidRPr="001138BB">
        <w:rPr>
          <w:rStyle w:val="Strong"/>
          <w:rFonts w:asciiTheme="minorHAnsi" w:hAnsiTheme="minorHAnsi" w:cstheme="minorHAnsi"/>
          <w:b w:val="0"/>
          <w:sz w:val="20"/>
        </w:rPr>
        <w:t xml:space="preserve">Any BMHCC-affiliated hospital may enter into an agreement with an accredited American Allopathic, Osteopathic, or Physician Assistant school to place a designated number of learners and facilitate medical education, </w:t>
      </w:r>
      <w:r w:rsidRPr="001138BB">
        <w:rPr>
          <w:rStyle w:val="Strong"/>
          <w:rFonts w:asciiTheme="minorHAnsi" w:hAnsiTheme="minorHAnsi" w:cstheme="minorHAnsi"/>
          <w:b w:val="0"/>
          <w:i/>
          <w:iCs/>
          <w:sz w:val="20"/>
        </w:rPr>
        <w:t>in a recurrent fashion</w:t>
      </w:r>
      <w:r w:rsidRPr="001138BB">
        <w:rPr>
          <w:rStyle w:val="Strong"/>
          <w:rFonts w:asciiTheme="minorHAnsi" w:hAnsiTheme="minorHAnsi" w:cstheme="minorHAnsi"/>
          <w:b w:val="0"/>
          <w:sz w:val="20"/>
        </w:rPr>
        <w:t xml:space="preserve">, on BMHCC campuses subject to approval from BMME and BMHCC. For the purposes herein, these institutions are named Primary Collaborative Institutions (PCI).  </w:t>
      </w:r>
    </w:p>
    <w:p w:rsidR="00774B4D" w:rsidRPr="001138BB" w:rsidRDefault="00774B4D" w:rsidP="00774B4D">
      <w:pPr>
        <w:rPr>
          <w:rStyle w:val="Strong"/>
          <w:rFonts w:asciiTheme="minorHAnsi" w:hAnsiTheme="minorHAnsi" w:cstheme="minorHAnsi"/>
          <w:b w:val="0"/>
          <w:bCs w:val="0"/>
          <w:sz w:val="20"/>
        </w:rPr>
      </w:pPr>
      <w:r w:rsidRPr="001138BB">
        <w:rPr>
          <w:rStyle w:val="Strong"/>
          <w:rFonts w:asciiTheme="minorHAnsi" w:hAnsiTheme="minorHAnsi" w:cstheme="minorHAnsi"/>
          <w:b w:val="0"/>
          <w:sz w:val="20"/>
        </w:rPr>
        <w:t xml:space="preserve">These agreements are usually conferred through a modified AAMC Uniform Training Agreement and other contractual obligations. </w:t>
      </w:r>
    </w:p>
    <w:p w:rsidR="00774B4D" w:rsidRPr="001138BB" w:rsidRDefault="00774B4D" w:rsidP="00774B4D">
      <w:pPr>
        <w:ind w:firstLine="720"/>
        <w:rPr>
          <w:rStyle w:val="Strong"/>
          <w:rFonts w:asciiTheme="minorHAnsi" w:hAnsiTheme="minorHAnsi" w:cstheme="minorHAnsi"/>
          <w:b w:val="0"/>
          <w:bCs w:val="0"/>
          <w:sz w:val="20"/>
        </w:rPr>
      </w:pPr>
      <w:r w:rsidRPr="001138BB">
        <w:rPr>
          <w:rStyle w:val="Strong"/>
          <w:rFonts w:asciiTheme="minorHAnsi" w:hAnsiTheme="minorHAnsi" w:cstheme="minorHAnsi"/>
          <w:b w:val="0"/>
          <w:sz w:val="20"/>
        </w:rPr>
        <w:t xml:space="preserve">BMME maintains a list of PCI. </w:t>
      </w:r>
    </w:p>
    <w:p w:rsidR="00774B4D" w:rsidRPr="001138BB" w:rsidRDefault="00774B4D" w:rsidP="00774B4D">
      <w:pPr>
        <w:rPr>
          <w:rStyle w:val="Strong"/>
          <w:rFonts w:asciiTheme="minorHAnsi" w:hAnsiTheme="minorHAnsi" w:cstheme="minorHAnsi"/>
          <w:b w:val="0"/>
          <w:bCs w:val="0"/>
          <w:sz w:val="20"/>
        </w:rPr>
      </w:pPr>
      <w:r w:rsidRPr="001138BB">
        <w:rPr>
          <w:rStyle w:val="Strong"/>
          <w:rFonts w:asciiTheme="minorHAnsi" w:hAnsiTheme="minorHAnsi" w:cstheme="minorHAnsi"/>
          <w:b w:val="0"/>
          <w:sz w:val="20"/>
        </w:rPr>
        <w:t xml:space="preserve"> (Example: BMH-Union County has entered agreement with Liberty University College of Osteopathic Medicine to support a small number of designated M1-M4 students each year on its campuses through a variety of learning experiences.) </w:t>
      </w:r>
    </w:p>
    <w:p w:rsidR="00774B4D" w:rsidRPr="001138BB" w:rsidRDefault="00774B4D" w:rsidP="00774B4D">
      <w:pPr>
        <w:rPr>
          <w:rStyle w:val="Strong"/>
          <w:rFonts w:asciiTheme="minorHAnsi" w:hAnsiTheme="minorHAnsi" w:cstheme="minorHAnsi"/>
          <w:b w:val="0"/>
          <w:bCs w:val="0"/>
        </w:rPr>
      </w:pPr>
      <w:r w:rsidRPr="001138BB">
        <w:rPr>
          <w:rStyle w:val="Strong"/>
          <w:rFonts w:asciiTheme="minorHAnsi" w:hAnsiTheme="minorHAnsi" w:cstheme="minorHAnsi"/>
          <w:b w:val="0"/>
        </w:rPr>
        <w:t xml:space="preserve"> </w:t>
      </w:r>
    </w:p>
    <w:p w:rsidR="00774B4D" w:rsidRPr="001138BB" w:rsidRDefault="00774B4D" w:rsidP="00774B4D">
      <w:pPr>
        <w:rPr>
          <w:rStyle w:val="Strong"/>
          <w:rFonts w:asciiTheme="minorHAnsi" w:hAnsiTheme="minorHAnsi" w:cstheme="minorHAnsi"/>
          <w:b w:val="0"/>
          <w:bCs w:val="0"/>
        </w:rPr>
      </w:pPr>
      <w:r w:rsidRPr="001138BB">
        <w:rPr>
          <w:rStyle w:val="Strong"/>
          <w:rFonts w:asciiTheme="minorHAnsi" w:hAnsiTheme="minorHAnsi" w:cstheme="minorHAnsi"/>
          <w:b w:val="0"/>
        </w:rPr>
        <w:t xml:space="preserve">Secondary Collaborative Institutions: </w:t>
      </w:r>
    </w:p>
    <w:p w:rsidR="00774B4D" w:rsidRPr="001138BB" w:rsidRDefault="00774B4D" w:rsidP="00774B4D">
      <w:pPr>
        <w:ind w:firstLine="720"/>
        <w:rPr>
          <w:rStyle w:val="Strong"/>
          <w:rFonts w:asciiTheme="minorHAnsi" w:hAnsiTheme="minorHAnsi" w:cstheme="minorHAnsi"/>
          <w:b w:val="0"/>
          <w:bCs w:val="0"/>
          <w:sz w:val="20"/>
        </w:rPr>
      </w:pPr>
      <w:r w:rsidRPr="001138BB">
        <w:rPr>
          <w:rStyle w:val="Strong"/>
          <w:rFonts w:asciiTheme="minorHAnsi" w:hAnsiTheme="minorHAnsi" w:cstheme="minorHAnsi"/>
          <w:b w:val="0"/>
          <w:sz w:val="20"/>
        </w:rPr>
        <w:t xml:space="preserve">Any BMHCC-affiliated hospital may enter into a temporary agreement with an accredited Allopathic, Osteopathic, or Physician Assistant school to send a student for a single clinical learning experience. These institutions are designated as Secondary Collaborative Institutions. Agreements may be entered into with approval from BMME using AAMC Uniform Training Agreement or AACOM equivalent. </w:t>
      </w:r>
    </w:p>
    <w:p w:rsidR="00774B4D" w:rsidRPr="001138BB" w:rsidRDefault="00774B4D" w:rsidP="00774B4D">
      <w:pPr>
        <w:ind w:firstLine="720"/>
        <w:rPr>
          <w:rStyle w:val="Strong"/>
          <w:rFonts w:asciiTheme="minorHAnsi" w:hAnsiTheme="minorHAnsi" w:cstheme="minorHAnsi"/>
          <w:b w:val="0"/>
          <w:sz w:val="20"/>
        </w:rPr>
      </w:pPr>
      <w:r w:rsidRPr="001138BB">
        <w:rPr>
          <w:rStyle w:val="Strong"/>
          <w:rFonts w:asciiTheme="minorHAnsi" w:hAnsiTheme="minorHAnsi" w:cstheme="minorHAnsi"/>
          <w:b w:val="0"/>
          <w:sz w:val="20"/>
        </w:rPr>
        <w:t>BMME maintains a list of SCI.</w:t>
      </w:r>
    </w:p>
    <w:p w:rsidR="00774B4D" w:rsidRDefault="00774B4D" w:rsidP="00774B4D">
      <w:pPr>
        <w:ind w:firstLine="720"/>
        <w:rPr>
          <w:rStyle w:val="Strong"/>
          <w:rFonts w:asciiTheme="minorHAnsi" w:hAnsiTheme="minorHAnsi" w:cstheme="minorHAnsi"/>
          <w:b w:val="0"/>
          <w:sz w:val="20"/>
        </w:rPr>
      </w:pPr>
    </w:p>
    <w:p w:rsidR="00774B4D" w:rsidRDefault="00351C09" w:rsidP="00351C09">
      <w:pPr>
        <w:rPr>
          <w:rStyle w:val="Strong"/>
          <w:rFonts w:asciiTheme="minorHAnsi" w:hAnsiTheme="minorHAnsi" w:cstheme="minorHAnsi"/>
          <w:b w:val="0"/>
          <w:sz w:val="20"/>
        </w:rPr>
      </w:pPr>
      <w:r>
        <w:rPr>
          <w:rStyle w:val="Strong"/>
          <w:rFonts w:asciiTheme="minorHAnsi" w:hAnsiTheme="minorHAnsi" w:cstheme="minorHAnsi"/>
          <w:b w:val="0"/>
          <w:sz w:val="20"/>
        </w:rPr>
        <w:t>Examples:</w:t>
      </w:r>
    </w:p>
    <w:p w:rsidR="00774B4D" w:rsidRPr="00774B4D" w:rsidRDefault="00774B4D" w:rsidP="00774B4D">
      <w:pPr>
        <w:pStyle w:val="ListParagraph"/>
        <w:numPr>
          <w:ilvl w:val="0"/>
          <w:numId w:val="10"/>
        </w:numPr>
        <w:rPr>
          <w:rStyle w:val="Strong"/>
          <w:rFonts w:cstheme="minorHAnsi"/>
          <w:b w:val="0"/>
          <w:bCs w:val="0"/>
        </w:rPr>
      </w:pPr>
      <w:r w:rsidRPr="00774B4D">
        <w:rPr>
          <w:rStyle w:val="Strong"/>
          <w:rFonts w:cstheme="minorHAnsi"/>
          <w:b w:val="0"/>
        </w:rPr>
        <w:t xml:space="preserve">An M4 from Oregon University wishes to perform an audition rotation in Radiology. He must apply to the Program Director in Radiology and that application must be reviewed according to their internal criteria. If accepted, Oregon University and BMME must enter into an agreement using AAMC Uniform Waiver. Student will arrange schedule with Radiology Program but student must register with BMME office according to BMME’s applicable policy. </w:t>
      </w:r>
    </w:p>
    <w:p w:rsidR="00774B4D" w:rsidRPr="00774B4D" w:rsidRDefault="00774B4D" w:rsidP="00774B4D">
      <w:pPr>
        <w:pStyle w:val="ListParagraph"/>
        <w:numPr>
          <w:ilvl w:val="0"/>
          <w:numId w:val="10"/>
        </w:numPr>
        <w:rPr>
          <w:rStyle w:val="Strong"/>
          <w:rFonts w:cstheme="minorHAnsi"/>
          <w:b w:val="0"/>
          <w:bCs w:val="0"/>
        </w:rPr>
      </w:pPr>
      <w:r w:rsidRPr="00774B4D">
        <w:rPr>
          <w:rStyle w:val="Strong"/>
          <w:rFonts w:cstheme="minorHAnsi"/>
          <w:b w:val="0"/>
        </w:rPr>
        <w:t xml:space="preserve">An M3 from Caribbean U in St. Lucia wishes to complete Internal Medicine, Emergency Medicine, and ICU clerkships and rotations while in Memphis, TN for the summer visiting his wife. Potential physicians have not been contacted by student.   BMME reserves those slots for students from PCI.  BMME denies this application. </w:t>
      </w:r>
    </w:p>
    <w:p w:rsidR="00774B4D" w:rsidRPr="00774B4D" w:rsidRDefault="00774B4D" w:rsidP="00774B4D">
      <w:pPr>
        <w:pStyle w:val="ListParagraph"/>
        <w:numPr>
          <w:ilvl w:val="0"/>
          <w:numId w:val="10"/>
        </w:numPr>
        <w:rPr>
          <w:rStyle w:val="Strong"/>
          <w:rFonts w:cstheme="minorHAnsi"/>
          <w:b w:val="0"/>
          <w:bCs w:val="0"/>
        </w:rPr>
      </w:pPr>
      <w:r w:rsidRPr="00774B4D">
        <w:rPr>
          <w:rStyle w:val="Strong"/>
          <w:rFonts w:cstheme="minorHAnsi"/>
          <w:b w:val="0"/>
        </w:rPr>
        <w:t xml:space="preserve">An M4 on rotation in an Orthopedic Rotation with Campbell Clinic. The attending frequently operates in a Baptist OR. This student must comply with “All Student Learners” before entering BMHCC-affiliated facilities. </w:t>
      </w:r>
    </w:p>
    <w:p w:rsidR="00774B4D" w:rsidRPr="00774B4D" w:rsidRDefault="00774B4D" w:rsidP="00774B4D">
      <w:pPr>
        <w:pStyle w:val="ListParagraph"/>
        <w:numPr>
          <w:ilvl w:val="0"/>
          <w:numId w:val="10"/>
        </w:numPr>
        <w:rPr>
          <w:rStyle w:val="Strong"/>
          <w:rFonts w:cstheme="minorHAnsi"/>
          <w:b w:val="0"/>
          <w:bCs w:val="0"/>
        </w:rPr>
      </w:pPr>
      <w:r w:rsidRPr="00774B4D">
        <w:rPr>
          <w:rStyle w:val="Strong"/>
          <w:rFonts w:cstheme="minorHAnsi"/>
          <w:b w:val="0"/>
        </w:rPr>
        <w:t xml:space="preserve"> An M3 at William Carey University desires to complete an elective rotation with an Internist in her hometown of Calhoun, MS. The attending physician is aware and approves. No other M3 is scheduled to perform a clerkship at that time with the attending.  This rotation is approved. </w:t>
      </w:r>
    </w:p>
    <w:p w:rsidR="00774B4D" w:rsidRPr="00774B4D" w:rsidRDefault="00774B4D" w:rsidP="00774B4D">
      <w:pPr>
        <w:pStyle w:val="ListParagraph"/>
        <w:numPr>
          <w:ilvl w:val="0"/>
          <w:numId w:val="10"/>
        </w:numPr>
        <w:rPr>
          <w:rStyle w:val="Strong"/>
          <w:rFonts w:cstheme="minorHAnsi"/>
          <w:b w:val="0"/>
          <w:bCs w:val="0"/>
        </w:rPr>
      </w:pPr>
      <w:r w:rsidRPr="00774B4D">
        <w:rPr>
          <w:rStyle w:val="Strong"/>
          <w:rFonts w:cstheme="minorHAnsi"/>
          <w:b w:val="0"/>
        </w:rPr>
        <w:lastRenderedPageBreak/>
        <w:t xml:space="preserve">A non-accredited physician who graduated from medical school 10 years ago has been working locally and desires an emergency medicine rotation. Physician Request is denied. </w:t>
      </w:r>
    </w:p>
    <w:p w:rsidR="00774B4D" w:rsidRPr="00774B4D" w:rsidRDefault="00774B4D" w:rsidP="00774B4D">
      <w:pPr>
        <w:rPr>
          <w:rStyle w:val="Strong"/>
          <w:rFonts w:asciiTheme="minorHAnsi" w:hAnsiTheme="minorHAnsi" w:cstheme="minorHAnsi"/>
          <w:b w:val="0"/>
          <w:bCs w:val="0"/>
        </w:rPr>
      </w:pPr>
      <w:r w:rsidRPr="00774B4D">
        <w:rPr>
          <w:rStyle w:val="Strong"/>
          <w:rFonts w:asciiTheme="minorHAnsi" w:hAnsiTheme="minorHAnsi" w:cstheme="minorHAnsi"/>
          <w:b w:val="0"/>
          <w:sz w:val="20"/>
        </w:rPr>
        <w:t>A non-accredited physician who graduated from medical school 10 years ago has been working locally and desires a cardiology rotation with a specific doctor who is aware and has approved request to be shadowed. Request Granted.</w:t>
      </w:r>
    </w:p>
    <w:p w:rsidR="00774B4D" w:rsidRPr="00774B4D" w:rsidRDefault="00774B4D" w:rsidP="00774B4D">
      <w:pPr>
        <w:pStyle w:val="Header"/>
        <w:tabs>
          <w:tab w:val="clear" w:pos="4320"/>
          <w:tab w:val="clear" w:pos="8640"/>
          <w:tab w:val="left" w:pos="1440"/>
        </w:tabs>
        <w:rPr>
          <w:rFonts w:asciiTheme="minorHAnsi" w:hAnsiTheme="minorHAnsi" w:cstheme="minorHAnsi"/>
        </w:rPr>
      </w:pPr>
    </w:p>
    <w:p w:rsidR="00774B4D" w:rsidRPr="001F1A3F" w:rsidRDefault="00774B4D" w:rsidP="00774B4D">
      <w:pPr>
        <w:overflowPunct/>
        <w:textAlignment w:val="auto"/>
        <w:rPr>
          <w:rFonts w:ascii="Calibri" w:hAnsi="Calibri"/>
        </w:rPr>
      </w:pPr>
    </w:p>
    <w:p w:rsidR="00314AC9" w:rsidRDefault="00314AC9"/>
    <w:sectPr w:rsidR="00314AC9">
      <w:footerReference w:type="default" r:id="rId9"/>
      <w:pgSz w:w="12240" w:h="15840"/>
      <w:pgMar w:top="1530" w:right="1008"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3287E">
      <w:r>
        <w:separator/>
      </w:r>
    </w:p>
  </w:endnote>
  <w:endnote w:type="continuationSeparator" w:id="0">
    <w:p w:rsidR="00000000" w:rsidRDefault="00432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627" w:rsidRDefault="001138BB">
    <w:pPr>
      <w:pStyle w:val="Footer"/>
      <w:jc w:val="center"/>
      <w:rPr>
        <w:rStyle w:val="PageNumber"/>
        <w:i/>
        <w:sz w:val="20"/>
      </w:rPr>
    </w:pPr>
    <w:r>
      <w:rPr>
        <w:i/>
        <w:sz w:val="20"/>
      </w:rPr>
      <w:t>Page</w:t>
    </w:r>
    <w:r>
      <w:rPr>
        <w:rStyle w:val="PageNumber"/>
        <w:i/>
        <w:sz w:val="20"/>
      </w:rPr>
      <w:fldChar w:fldCharType="begin"/>
    </w:r>
    <w:r>
      <w:rPr>
        <w:rStyle w:val="PageNumber"/>
        <w:i/>
        <w:sz w:val="20"/>
      </w:rPr>
      <w:instrText xml:space="preserve"> PAGE </w:instrText>
    </w:r>
    <w:r>
      <w:rPr>
        <w:rStyle w:val="PageNumber"/>
        <w:i/>
        <w:sz w:val="20"/>
      </w:rPr>
      <w:fldChar w:fldCharType="separate"/>
    </w:r>
    <w:r w:rsidR="0043287E">
      <w:rPr>
        <w:rStyle w:val="PageNumber"/>
        <w:i/>
        <w:noProof/>
        <w:sz w:val="20"/>
      </w:rPr>
      <w:t>4</w:t>
    </w:r>
    <w:r>
      <w:rPr>
        <w:rStyle w:val="PageNumber"/>
        <w:i/>
        <w:sz w:val="20"/>
      </w:rPr>
      <w:fldChar w:fldCharType="end"/>
    </w:r>
  </w:p>
  <w:p w:rsidR="00691627" w:rsidRDefault="0043287E">
    <w:pPr>
      <w:pStyle w:val="Footer"/>
      <w:jc w:val="center"/>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3287E">
      <w:r>
        <w:separator/>
      </w:r>
    </w:p>
  </w:footnote>
  <w:footnote w:type="continuationSeparator" w:id="0">
    <w:p w:rsidR="00000000" w:rsidRDefault="00432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2C8A"/>
    <w:multiLevelType w:val="hybridMultilevel"/>
    <w:tmpl w:val="A58A39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06954"/>
    <w:multiLevelType w:val="hybridMultilevel"/>
    <w:tmpl w:val="FF947C8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C741A"/>
    <w:multiLevelType w:val="hybridMultilevel"/>
    <w:tmpl w:val="32FC448A"/>
    <w:lvl w:ilvl="0" w:tplc="0778D9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51029B"/>
    <w:multiLevelType w:val="hybridMultilevel"/>
    <w:tmpl w:val="146CE148"/>
    <w:lvl w:ilvl="0" w:tplc="28E66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56390B"/>
    <w:multiLevelType w:val="hybridMultilevel"/>
    <w:tmpl w:val="C7C0AB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3870D0"/>
    <w:multiLevelType w:val="hybridMultilevel"/>
    <w:tmpl w:val="9D2AE7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327A99"/>
    <w:multiLevelType w:val="hybridMultilevel"/>
    <w:tmpl w:val="0D1A1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2B54F4"/>
    <w:multiLevelType w:val="hybridMultilevel"/>
    <w:tmpl w:val="B55AC13E"/>
    <w:lvl w:ilvl="0" w:tplc="B01CAD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D185290"/>
    <w:multiLevelType w:val="hybridMultilevel"/>
    <w:tmpl w:val="F4B21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625F87"/>
    <w:multiLevelType w:val="hybridMultilevel"/>
    <w:tmpl w:val="6B228B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8"/>
  </w:num>
  <w:num w:numId="5">
    <w:abstractNumId w:val="9"/>
  </w:num>
  <w:num w:numId="6">
    <w:abstractNumId w:val="1"/>
  </w:num>
  <w:num w:numId="7">
    <w:abstractNumId w:val="7"/>
  </w:num>
  <w:num w:numId="8">
    <w:abstractNumId w:val="3"/>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4D"/>
    <w:rsid w:val="001138BB"/>
    <w:rsid w:val="00314AC9"/>
    <w:rsid w:val="00351C09"/>
    <w:rsid w:val="0043287E"/>
    <w:rsid w:val="006D582F"/>
    <w:rsid w:val="00774B4D"/>
    <w:rsid w:val="008F4EC1"/>
    <w:rsid w:val="00D42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70FB54"/>
  <w15:chartTrackingRefBased/>
  <w15:docId w15:val="{4FD22298-BB82-4CB3-A79B-B9F2B2F82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B4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6D582F"/>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5">
    <w:name w:val="heading 5"/>
    <w:basedOn w:val="Normal"/>
    <w:next w:val="Normal"/>
    <w:link w:val="Heading5Char"/>
    <w:qFormat/>
    <w:rsid w:val="00774B4D"/>
    <w:pPr>
      <w:keepNext/>
      <w:jc w:val="center"/>
      <w:outlineLvl w:val="4"/>
    </w:pPr>
    <w:rPr>
      <w:rFonts w:ascii="Roman" w:hAnsi="Roman"/>
      <w:b/>
    </w:rPr>
  </w:style>
  <w:style w:type="paragraph" w:styleId="Heading8">
    <w:name w:val="heading 8"/>
    <w:basedOn w:val="Normal"/>
    <w:next w:val="Normal"/>
    <w:link w:val="Heading8Char"/>
    <w:qFormat/>
    <w:rsid w:val="00774B4D"/>
    <w:pPr>
      <w:keepNext/>
      <w:tabs>
        <w:tab w:val="left" w:pos="1080"/>
      </w:tabs>
      <w:overflowPunct/>
      <w:autoSpaceDE/>
      <w:autoSpaceDN/>
      <w:adjustRightInd/>
      <w:jc w:val="both"/>
      <w:textAlignment w:val="auto"/>
      <w:outlineLvl w:val="7"/>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74B4D"/>
    <w:rPr>
      <w:rFonts w:ascii="Roman" w:eastAsia="Times New Roman" w:hAnsi="Roman" w:cs="Times New Roman"/>
      <w:b/>
      <w:sz w:val="24"/>
      <w:szCs w:val="20"/>
    </w:rPr>
  </w:style>
  <w:style w:type="character" w:customStyle="1" w:styleId="Heading8Char">
    <w:name w:val="Heading 8 Char"/>
    <w:basedOn w:val="DefaultParagraphFont"/>
    <w:link w:val="Heading8"/>
    <w:rsid w:val="00774B4D"/>
    <w:rPr>
      <w:rFonts w:ascii="Times New Roman" w:eastAsia="Times New Roman" w:hAnsi="Times New Roman" w:cs="Times New Roman"/>
      <w:b/>
      <w:sz w:val="16"/>
      <w:szCs w:val="20"/>
    </w:rPr>
  </w:style>
  <w:style w:type="paragraph" w:styleId="Header">
    <w:name w:val="header"/>
    <w:basedOn w:val="Normal"/>
    <w:link w:val="HeaderChar"/>
    <w:rsid w:val="00774B4D"/>
    <w:pPr>
      <w:tabs>
        <w:tab w:val="center" w:pos="4320"/>
        <w:tab w:val="right" w:pos="8640"/>
      </w:tabs>
    </w:pPr>
  </w:style>
  <w:style w:type="character" w:customStyle="1" w:styleId="HeaderChar">
    <w:name w:val="Header Char"/>
    <w:basedOn w:val="DefaultParagraphFont"/>
    <w:link w:val="Header"/>
    <w:rsid w:val="00774B4D"/>
    <w:rPr>
      <w:rFonts w:ascii="Times New Roman" w:eastAsia="Times New Roman" w:hAnsi="Times New Roman" w:cs="Times New Roman"/>
      <w:sz w:val="24"/>
      <w:szCs w:val="20"/>
    </w:rPr>
  </w:style>
  <w:style w:type="paragraph" w:styleId="Footer">
    <w:name w:val="footer"/>
    <w:basedOn w:val="Normal"/>
    <w:link w:val="FooterChar"/>
    <w:rsid w:val="00774B4D"/>
    <w:pPr>
      <w:tabs>
        <w:tab w:val="center" w:pos="4320"/>
        <w:tab w:val="right" w:pos="8640"/>
      </w:tabs>
    </w:pPr>
  </w:style>
  <w:style w:type="character" w:customStyle="1" w:styleId="FooterChar">
    <w:name w:val="Footer Char"/>
    <w:basedOn w:val="DefaultParagraphFont"/>
    <w:link w:val="Footer"/>
    <w:rsid w:val="00774B4D"/>
    <w:rPr>
      <w:rFonts w:ascii="Times New Roman" w:eastAsia="Times New Roman" w:hAnsi="Times New Roman" w:cs="Times New Roman"/>
      <w:sz w:val="24"/>
      <w:szCs w:val="20"/>
    </w:rPr>
  </w:style>
  <w:style w:type="character" w:styleId="PageNumber">
    <w:name w:val="page number"/>
    <w:basedOn w:val="DefaultParagraphFont"/>
    <w:rsid w:val="00774B4D"/>
  </w:style>
  <w:style w:type="character" w:styleId="Strong">
    <w:name w:val="Strong"/>
    <w:uiPriority w:val="22"/>
    <w:qFormat/>
    <w:rsid w:val="00774B4D"/>
    <w:rPr>
      <w:b/>
      <w:bCs/>
    </w:rPr>
  </w:style>
  <w:style w:type="paragraph" w:styleId="ListParagraph">
    <w:name w:val="List Paragraph"/>
    <w:basedOn w:val="Normal"/>
    <w:uiPriority w:val="34"/>
    <w:qFormat/>
    <w:rsid w:val="00774B4D"/>
    <w:pPr>
      <w:overflowPunct/>
      <w:autoSpaceDE/>
      <w:autoSpaceDN/>
      <w:adjustRightInd/>
      <w:spacing w:before="100" w:after="200" w:line="276" w:lineRule="auto"/>
      <w:ind w:left="720"/>
      <w:contextualSpacing/>
      <w:textAlignment w:val="auto"/>
    </w:pPr>
    <w:rPr>
      <w:rFonts w:asciiTheme="minorHAnsi" w:eastAsiaTheme="minorEastAsia" w:hAnsiTheme="minorHAnsi" w:cstheme="minorBidi"/>
      <w:sz w:val="20"/>
    </w:rPr>
  </w:style>
  <w:style w:type="character" w:customStyle="1" w:styleId="Heading3Char">
    <w:name w:val="Heading 3 Char"/>
    <w:basedOn w:val="DefaultParagraphFont"/>
    <w:link w:val="Heading3"/>
    <w:uiPriority w:val="9"/>
    <w:rsid w:val="006D582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1511</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Baptist Hospital</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Lakisha Bah-Stewart</dc:creator>
  <cp:keywords/>
  <dc:description/>
  <cp:lastModifiedBy>Lakisha Bah-Stewart</cp:lastModifiedBy>
  <cp:revision>5</cp:revision>
  <dcterms:created xsi:type="dcterms:W3CDTF">2021-09-21T13:51:00Z</dcterms:created>
  <dcterms:modified xsi:type="dcterms:W3CDTF">2021-09-21T20:11:00Z</dcterms:modified>
</cp:coreProperties>
</file>